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0001966254</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835"/>
        </w:trPr>
        <w:tc>
          <w:tcPr>
            <w:tcW w:w="68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8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Li Auto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8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001-39407</w:t>
            </w:r>
          </w:p>
        </w:tc>
      </w:tr>
      <w:tr>
        <w:trPr>
          <w:trHeight w:val="258"/>
        </w:trPr>
        <w:tc>
          <w:tcPr>
            <w:tcW w:w="300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w w:val="96"/>
              </w:rPr>
              <w:t>11 WENLIANG STREET</w:t>
            </w:r>
          </w:p>
        </w:tc>
      </w:tr>
      <w:tr>
        <w:trPr>
          <w:trHeight w:val="243"/>
        </w:trPr>
        <w:tc>
          <w:tcPr>
            <w:tcW w:w="30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SHUNYI DISTRICT</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8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BEIJING</w:t>
            </w:r>
          </w:p>
        </w:tc>
      </w:tr>
      <w:tr>
        <w:trPr>
          <w:trHeight w:val="243"/>
        </w:trPr>
        <w:tc>
          <w:tcPr>
            <w:tcW w:w="30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101399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8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861087427209</w:t>
            </w:r>
          </w:p>
        </w:tc>
      </w:tr>
      <w:tr>
        <w:trPr>
          <w:trHeight w:val="297"/>
        </w:trPr>
        <w:tc>
          <w:tcPr>
            <w:tcW w:w="68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Xie Yan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Futu Securities</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9"/>
              </w:rPr>
              <w:t>International (Hong Kong)</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Limited</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34/F, United Centre, No.</w:t>
            </w:r>
          </w:p>
        </w:tc>
        <w:tc>
          <w:tcPr>
            <w:tcW w:w="12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w w:val="96"/>
              </w:rPr>
              <w:t>980000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6752200.00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95 Queensway</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Admiralty</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Hong Kong  F4  000000</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2500" w:val="left"/>
        </w:tabs>
        <w:rPr>
          <w:sz w:val="20"/>
          <w:szCs w:val="20"/>
          <w:color w:val="auto"/>
        </w:rPr>
      </w:pPr>
      <w:r>
        <w:rPr>
          <w:rFonts w:ascii="Times New Roman" w:cs="Times New Roman" w:eastAsia="Times New Roman" w:hAnsi="Times New Roman"/>
          <w:sz w:val="22"/>
          <w:szCs w:val="22"/>
          <w:color w:val="auto"/>
        </w:rPr>
        <w:t>1787703641  06/15/2026</w:t>
      </w:r>
      <w:r>
        <w:rPr>
          <w:sz w:val="20"/>
          <w:szCs w:val="20"/>
          <w:color w:val="auto"/>
        </w:rPr>
        <w:tab/>
      </w:r>
      <w:r>
        <w:rPr>
          <w:rFonts w:ascii="Times New Roman" w:cs="Times New Roman" w:eastAsia="Times New Roman" w:hAnsi="Times New Roman"/>
          <w:sz w:val="21"/>
          <w:szCs w:val="21"/>
          <w:color w:val="auto"/>
        </w:rPr>
        <w:t>Nasdaq</w:t>
      </w:r>
    </w:p>
    <w:p>
      <w:pPr>
        <w:spacing w:after="0" w:line="958"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Acquired under</w:t>
      </w:r>
    </w:p>
    <w:p>
      <w:pPr>
        <w:ind w:left="40"/>
        <w:spacing w:after="0"/>
        <w:tabs>
          <w:tab w:leader="none" w:pos="2540" w:val="left"/>
        </w:tabs>
        <w:rPr>
          <w:sz w:val="20"/>
          <w:szCs w:val="20"/>
          <w:color w:val="auto"/>
        </w:rPr>
      </w:pPr>
      <w:r>
        <w:rPr>
          <w:rFonts w:ascii="Times New Roman" w:cs="Times New Roman" w:eastAsia="Times New Roman" w:hAnsi="Times New Roman"/>
          <w:sz w:val="29"/>
          <w:szCs w:val="29"/>
          <w:color w:val="auto"/>
          <w:vertAlign w:val="subscript"/>
        </w:rPr>
        <w:t>Class A</w:t>
      </w:r>
      <w:r>
        <w:rPr>
          <w:sz w:val="20"/>
          <w:szCs w:val="20"/>
          <w:color w:val="auto"/>
        </w:rPr>
        <w:tab/>
      </w:r>
      <w:r>
        <w:rPr>
          <w:rFonts w:ascii="Times New Roman" w:cs="Times New Roman" w:eastAsia="Times New Roman" w:hAnsi="Times New Roman"/>
          <w:sz w:val="21"/>
          <w:szCs w:val="21"/>
          <w:color w:val="auto"/>
        </w:rPr>
        <w:t>Employee</w:t>
      </w:r>
    </w:p>
    <w:p>
      <w:pPr>
        <w:ind w:left="40"/>
        <w:spacing w:after="0" w:line="182" w:lineRule="auto"/>
        <w:rPr>
          <w:sz w:val="20"/>
          <w:szCs w:val="20"/>
          <w:color w:val="auto"/>
        </w:rPr>
      </w:pPr>
      <w:r>
        <w:rPr>
          <w:rFonts w:ascii="Times New Roman" w:cs="Times New Roman" w:eastAsia="Times New Roman" w:hAnsi="Times New Roman"/>
          <w:sz w:val="28"/>
          <w:szCs w:val="28"/>
          <w:color w:val="auto"/>
          <w:vertAlign w:val="subscript"/>
        </w:rPr>
        <w:t>Ordinary Shares</w:t>
      </w:r>
      <w:r>
        <w:rPr>
          <w:rFonts w:ascii="Times New Roman" w:cs="Times New Roman" w:eastAsia="Times New Roman" w:hAnsi="Times New Roman"/>
          <w:sz w:val="16"/>
          <w:szCs w:val="16"/>
          <w:color w:val="auto"/>
        </w:rPr>
        <w:t xml:space="preserve"> 06/15/2026 Incentive Plan as</w:t>
      </w:r>
    </w:p>
    <w:p>
      <w:pPr>
        <w:ind w:left="2560"/>
        <w:spacing w:after="0" w:line="230" w:lineRule="auto"/>
        <w:rPr>
          <w:sz w:val="20"/>
          <w:szCs w:val="20"/>
          <w:color w:val="auto"/>
        </w:rPr>
      </w:pPr>
      <w:r>
        <w:rPr>
          <w:rFonts w:ascii="Times New Roman" w:cs="Times New Roman" w:eastAsia="Times New Roman" w:hAnsi="Times New Roman"/>
          <w:sz w:val="22"/>
          <w:szCs w:val="22"/>
          <w:color w:val="auto"/>
        </w:rPr>
        <w:t>employee of the</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Securities Issuer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440" w:type="dxa"/>
            <w:vAlign w:val="bottom"/>
            <w:vMerge w:val="restart"/>
          </w:tcPr>
          <w:p>
            <w:pPr>
              <w:jc w:val="center"/>
              <w:ind w:right="172"/>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0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4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440" w:type="dxa"/>
            <w:vAlign w:val="bottom"/>
            <w:vMerge w:val="restart"/>
          </w:tcPr>
          <w:p>
            <w:pPr>
              <w:jc w:val="center"/>
              <w:ind w:right="17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0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Li Auto Inc.</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98000</w:t>
            </w:r>
          </w:p>
        </w:tc>
        <w:tc>
          <w:tcPr>
            <w:tcW w:w="14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7"/>
              </w:rPr>
              <w:t>06/15/2026 NA</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680" w:lineRule="exact"/>
        <w:rPr>
          <w:sz w:val="20"/>
          <w:szCs w:val="20"/>
          <w:color w:val="auto"/>
        </w:rPr>
      </w:pPr>
    </w:p>
    <w:p>
      <w:pPr>
        <w:sectPr>
          <w:pgSz w:w="11900" w:h="16838" w:orient="portrait"/>
          <w:cols w:equalWidth="0" w:num="2">
            <w:col w:w="4040" w:space="220"/>
            <w:col w:w="6980"/>
          </w:cols>
          <w:pgMar w:left="320" w:top="139" w:right="339" w:bottom="1440" w:gutter="0" w:footer="0" w:header="0"/>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99" w:lineRule="exact"/>
        <w:rPr>
          <w:sz w:val="20"/>
          <w:szCs w:val="20"/>
          <w:color w:val="auto"/>
        </w:rPr>
      </w:pPr>
    </w:p>
    <w:p>
      <w:pPr>
        <w:ind w:left="940" w:right="52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securities set forth herein are being sold pursuant to a sell-to-cover arrangement for the purpose of satisfying income tax liabilities incurred upon vesting of restricted share units.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Xie Yan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2026-06-12T05:44:27Z</dcterms:created>
  <dcterms:modified xsi:type="dcterms:W3CDTF">2026-06-12T05:44:27Z</dcterms:modified>
</cp:coreProperties>
</file>