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7732d1_6k.htm"/>
      <w:bookmarkStart w:id="1" w:name="kstm262773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October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2640" w:right="0" w:hanging="0"/>
        <w:jc w:val="left"/>
        <w:rPr>
          <w:caps w:val="false"/>
          <w:smallCaps w:val="false"/>
        </w:rPr>
      </w:pPr>
      <w:r>
        <w:rPr>
          <w:caps w:val="false"/>
          <w:smallCaps w:val="false"/>
        </w:rPr>
        <w:t> </w:t>
      </w:r>
    </w:p>
    <w:p>
      <w:pPr>
        <w:pStyle w:val="TextBody"/>
        <w:bidi w:val="0"/>
        <w:ind w:left="2640" w:right="0" w:hanging="0"/>
        <w:jc w:val="left"/>
        <w:rPr>
          <w:bdr w:val="single" w:sz="8" w:space="1" w:color="000000"/>
        </w:rPr>
      </w:pPr>
      <w:r>
        <w:rPr>
          <w:bdr w:val="single" w:sz="8" w:space="1" w:color="000000"/>
        </w:rPr>
        <w:t> </w:t>
      </w:r>
    </w:p>
    <w:p>
      <w:pPr>
        <w:pStyle w:val="TextBody"/>
        <w:bidi w:val="0"/>
        <w:spacing w:before="0" w:after="0"/>
        <w:ind w:left="264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5"/>
        <w:gridCol w:w="60"/>
        <w:gridCol w:w="9230"/>
      </w:tblGrid>
      <w:tr>
        <w:trPr/>
        <w:tc>
          <w:tcPr>
            <w:tcW w:w="915" w:type="dxa"/>
            <w:tcBorders>
              <w:bottom w:val="single" w:sz="8"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3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9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230" w:type="dxa"/>
            <w:tcBorders/>
            <w:tcMar>
              <w:bottom w:w="0" w:type="dxa"/>
            </w:tcMar>
            <w:vAlign w:val="center"/>
          </w:tcPr>
          <w:p>
            <w:pPr>
              <w:pStyle w:val="TableContents"/>
              <w:bidi w:val="0"/>
              <w:spacing w:before="0" w:after="283"/>
              <w:jc w:val="both"/>
              <w:rPr/>
            </w:pPr>
            <w:r>
              <w:rPr/>
              <w:t> </w:t>
            </w:r>
          </w:p>
        </w:tc>
      </w:tr>
      <w:tr>
        <w:trPr/>
        <w:tc>
          <w:tcPr>
            <w:tcW w:w="915" w:type="dxa"/>
            <w:tcBorders/>
            <w:tcMar>
              <w:bottom w:w="0" w:type="dxa"/>
            </w:tcMar>
            <w:vAlign w:val="center"/>
          </w:tcPr>
          <w:p>
            <w:pPr>
              <w:pStyle w:val="TableContents"/>
              <w:bidi w:val="0"/>
              <w:spacing w:before="0" w:after="283"/>
              <w:jc w:val="center"/>
              <w:rPr/>
            </w:pPr>
            <w:hyperlink w:anchor="tm2627732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230" w:type="dxa"/>
            <w:tcBorders/>
            <w:tcMar>
              <w:bottom w:w="0" w:type="dxa"/>
            </w:tcMar>
            <w:vAlign w:val="center"/>
          </w:tcPr>
          <w:p>
            <w:pPr>
              <w:pStyle w:val="TableContents"/>
              <w:bidi w:val="0"/>
              <w:spacing w:before="0" w:after="283"/>
              <w:jc w:val="both"/>
              <w:rPr/>
            </w:pPr>
            <w:hyperlink w:anchor="tm2627732d1_ex99-1.htm">
              <w:r>
                <w:rPr>
                  <w:rStyle w:val="InternetLink"/>
                </w:rPr>
                <w:t>Press Release—Li Auto Inc. Announces Equity Financing for Its Chip Business</w:t>
              </w:r>
            </w:hyperlink>
          </w:p>
        </w:tc>
      </w:tr>
      <w:tr>
        <w:trPr/>
        <w:tc>
          <w:tcPr>
            <w:tcW w:w="91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230" w:type="dxa"/>
            <w:tcBorders/>
            <w:tcMar>
              <w:bottom w:w="0" w:type="dxa"/>
            </w:tcMar>
            <w:vAlign w:val="center"/>
          </w:tcPr>
          <w:p>
            <w:pPr>
              <w:pStyle w:val="TableContents"/>
              <w:bidi w:val="0"/>
              <w:spacing w:before="0" w:after="283"/>
              <w:jc w:val="both"/>
              <w:rPr/>
            </w:pPr>
            <w:r>
              <w:rPr/>
              <w:t> </w:t>
            </w:r>
          </w:p>
        </w:tc>
      </w:tr>
      <w:tr>
        <w:trPr/>
        <w:tc>
          <w:tcPr>
            <w:tcW w:w="915" w:type="dxa"/>
            <w:tcBorders/>
            <w:tcMar>
              <w:bottom w:w="0" w:type="dxa"/>
            </w:tcMar>
            <w:vAlign w:val="center"/>
          </w:tcPr>
          <w:p>
            <w:pPr>
              <w:pStyle w:val="TableContents"/>
              <w:bidi w:val="0"/>
              <w:spacing w:before="0" w:after="283"/>
              <w:jc w:val="center"/>
              <w:rPr/>
            </w:pPr>
            <w:hyperlink w:anchor="tm2627732d1_ex99-2.pdf">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230" w:type="dxa"/>
            <w:tcBorders/>
            <w:tcMar>
              <w:bottom w:w="0" w:type="dxa"/>
            </w:tcMar>
            <w:vAlign w:val="center"/>
          </w:tcPr>
          <w:p>
            <w:pPr>
              <w:pStyle w:val="TableContents"/>
              <w:bidi w:val="0"/>
              <w:spacing w:before="0" w:after="283"/>
              <w:jc w:val="left"/>
              <w:rPr/>
            </w:pPr>
            <w:hyperlink w:anchor="tm2627732d1_ex99-2.pdf">
              <w:r>
                <w:rPr>
                  <w:rStyle w:val="InternetLink"/>
                </w:rPr>
                <w:t>Announcement—Discloseable Transaction in Relation to the Subscription and the Adoption of the MH Incentive Schemes</w:t>
              </w:r>
            </w:hyperlink>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75"/>
        <w:gridCol w:w="590"/>
        <w:gridCol w:w="80"/>
        <w:gridCol w:w="3470"/>
      </w:tblGrid>
      <w:tr>
        <w:trPr/>
        <w:tc>
          <w:tcPr>
            <w:tcW w:w="75" w:type="dxa"/>
            <w:tcBorders/>
            <w:vAlign w:val="center"/>
          </w:tcPr>
          <w:p>
            <w:pPr>
              <w:pStyle w:val="TableContents"/>
              <w:bidi w:val="0"/>
              <w:spacing w:before="0" w:after="283"/>
              <w:jc w:val="left"/>
              <w:rPr/>
            </w:pPr>
            <w:r>
              <w:rPr/>
              <w:t> </w:t>
            </w:r>
          </w:p>
        </w:tc>
        <w:tc>
          <w:tcPr>
            <w:tcW w:w="4140"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80" w:type="dxa"/>
            <w:tcBorders/>
            <w:vAlign w:val="center"/>
          </w:tcPr>
          <w:p>
            <w:pPr>
              <w:pStyle w:val="TableContents"/>
              <w:bidi w:val="0"/>
              <w:spacing w:before="0" w:after="283"/>
              <w:jc w:val="center"/>
              <w:rPr/>
            </w:pPr>
            <w:r>
              <w:rPr/>
              <w:t> </w:t>
            </w:r>
          </w:p>
        </w:tc>
        <w:tc>
          <w:tcPr>
            <w:tcW w:w="3470"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80" w:type="dxa"/>
            <w:tcBorders/>
            <w:vAlign w:val="center"/>
          </w:tcPr>
          <w:p>
            <w:pPr>
              <w:pStyle w:val="TableContents"/>
              <w:bidi w:val="0"/>
              <w:spacing w:before="0" w:after="283"/>
              <w:jc w:val="center"/>
              <w:rPr/>
            </w:pPr>
            <w:r>
              <w:rPr/>
              <w:t>:</w:t>
            </w:r>
          </w:p>
        </w:tc>
        <w:tc>
          <w:tcPr>
            <w:tcW w:w="3470" w:type="dxa"/>
            <w:tcBorders/>
            <w:vAlign w:val="center"/>
          </w:tcPr>
          <w:p>
            <w:pPr>
              <w:pStyle w:val="TableContents"/>
              <w:bidi w:val="0"/>
              <w:spacing w:before="0" w:after="283"/>
              <w:jc w:val="left"/>
              <w:rPr/>
            </w:pPr>
            <w:r>
              <w:rPr/>
              <w:t>Tie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80" w:type="dxa"/>
            <w:tcBorders/>
            <w:vAlign w:val="center"/>
          </w:tcPr>
          <w:p>
            <w:pPr>
              <w:pStyle w:val="TableContents"/>
              <w:bidi w:val="0"/>
              <w:spacing w:before="0" w:after="283"/>
              <w:jc w:val="center"/>
              <w:rPr/>
            </w:pPr>
            <w:r>
              <w:rPr/>
              <w:t>:</w:t>
            </w:r>
          </w:p>
        </w:tc>
        <w:tc>
          <w:tcPr>
            <w:tcW w:w="3470" w:type="dxa"/>
            <w:tcBorders/>
            <w:vAlign w:val="center"/>
          </w:tcPr>
          <w:p>
            <w:pPr>
              <w:pStyle w:val="TableContents"/>
              <w:bidi w:val="0"/>
              <w:spacing w:before="0" w:after="283"/>
              <w:jc w:val="left"/>
              <w:rPr/>
            </w:pPr>
            <w:r>
              <w:rPr/>
              <w:t>Director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7732d1_ex99-1.htm"/>
      <w:bookmarkStart w:id="3" w:name="kstm2627732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3143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 Auto Inc. Announces Equity Financing for Its Chip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October 16, 2026 — Li Auto Inc. (“Li Auto” or the “Company”) (Nasdaq: LI; HKEX: 2015), a leader in China’s new energy vehicle market, today announced that Shanghai Mahe Xin Technology Co., Ltd. (“MHX Technology”), a subsidiary of the Company dedicated to its chip and domain controller business, entered into subscription agreements for equity financing totaling RMB1.625 billion (the “Subscription”). The Company, through a wholly-owned subsidiary, and external investors including Hangzhou Jingtao, Lanchi Ventures, Huaye Tiancheng and MiraclePlus (the “Investors”) will invest RMB1.0 billion and RMB625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Hangzhou Jingtao Additional Investor has been granted a right (“Hangzhou Jingtao Subscription Right”), on a one-off basis on or before December 31, 2026, to invest in MHX Technology at the same price per unit of increased registered capital as that under the Subscription, for an aggregate consideration of not more than RMB500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Subscription, MHX Technology will adopt two share incentive plans to provide incentives to its valuable employees and key contributors.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will continue to control and consolidate MHX Technology’s financial results following the financing. Assuming full utilization of both incentive plans and full exercise of the Hangzhou Jingtao Subscription Right, the Company, the Investors, and certain entities to administer MHX Technology’s share incentive plans expect to hold approximately 74.01%, 6.58%, and 19.41% equity interest in MHX Technology,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of MHX Technology as a dedicated platform for the chip and domain controller business positions it to capitalize on broader industrial opportunities, particularly in non-automotive sectors, and realize enhanced economies of scale. In addition, the Subscription provides MHX Technology with substantial capital to advance its R&amp;D and commercialization efforts, while the share incentive plans will attract, motivate and retain key talents, aligning participants’ interests with the long-term growth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the financing is subject to customary closing conditions. Further details are available in the Company’s announcement published on the website of The Stock Exchange of Hong Kong Limited on October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 Auto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 offers high-tech flagship family MPVs, Li L series extended-range electric SUVs, and Li i series battery electric SUVs. The Company will continue to expand its product lineup to target a broader user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caps w:val="false"/>
          <w:smallCaps w:val="false"/>
          <w:sz w:val="20"/>
        </w:rPr>
        <w:t>https://ir.lixiang.com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ir@lixiang.com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+86-10-5900-1548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1034</Words>
  <Characters>6126</Characters>
  <CharactersWithSpaces>7191</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