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764d1_6k.htm"/>
      <w:bookmarkStart w:id="1" w:name="kstm262576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28" w:type="dxa"/>
          <w:right w:w="0" w:type="dxa"/>
        </w:tblCellMar>
      </w:tblPr>
      <w:tblGrid>
        <w:gridCol w:w="1205"/>
        <w:gridCol w:w="60"/>
        <w:gridCol w:w="446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446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576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764d1_ex99-1.htm">
              <w:r>
                <w:rPr>
                  <w:rStyle w:val="InternetLink"/>
                  <w:rFonts w:ascii="Times New Roman;Times;Serif" w:hAnsi="Times New Roman;Times;Serif"/>
                  <w:sz w:val="20"/>
                </w:rPr>
                <w:t>Next Day Disclosure Return dated September 14, 2026</w:t>
              </w:r>
            </w:hyperlink>
          </w:p>
        </w:tc>
      </w:tr>
      <w:tr>
        <w:trPr/>
        <w:tc>
          <w:tcPr>
            <w:tcW w:w="1205" w:type="dxa"/>
            <w:tcBorders/>
            <w:tcMar>
              <w:bottom w:w="0" w:type="dxa"/>
            </w:tcMar>
            <w:vAlign w:val="center"/>
          </w:tcPr>
          <w:p>
            <w:pPr>
              <w:pStyle w:val="TableContents"/>
              <w:bidi w:val="0"/>
              <w:spacing w:before="0" w:after="283"/>
              <w:jc w:val="center"/>
              <w:rPr/>
            </w:pPr>
            <w:hyperlink w:anchor="tm2625764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764d1_ex99-2.htm">
              <w:r>
                <w:rPr>
                  <w:rStyle w:val="InternetLink"/>
                  <w:rFonts w:ascii="Times New Roman;Times;Serif" w:hAnsi="Times New Roman;Times;Serif"/>
                  <w:sz w:val="20"/>
                </w:rPr>
                <w:t>Next Day Disclosure Return dated September 15, 2026</w:t>
              </w:r>
            </w:hyperlink>
          </w:p>
        </w:tc>
      </w:tr>
      <w:tr>
        <w:trPr/>
        <w:tc>
          <w:tcPr>
            <w:tcW w:w="1205" w:type="dxa"/>
            <w:tcBorders/>
            <w:tcMar>
              <w:bottom w:w="0" w:type="dxa"/>
            </w:tcMar>
            <w:vAlign w:val="center"/>
          </w:tcPr>
          <w:p>
            <w:pPr>
              <w:pStyle w:val="TableContents"/>
              <w:bidi w:val="0"/>
              <w:spacing w:before="0" w:after="283"/>
              <w:jc w:val="center"/>
              <w:rPr/>
            </w:pPr>
            <w:hyperlink w:anchor="tm2625764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764d1_ex99-3.htm">
              <w:r>
                <w:rPr>
                  <w:rStyle w:val="InternetLink"/>
                  <w:rFonts w:ascii="Times New Roman;Times;Serif" w:hAnsi="Times New Roman;Times;Serif"/>
                  <w:sz w:val="20"/>
                </w:rPr>
                <w:t>Next Day Disclosure Return dated September 16, 2026</w:t>
              </w:r>
            </w:hyperlink>
          </w:p>
        </w:tc>
      </w:tr>
      <w:tr>
        <w:trPr/>
        <w:tc>
          <w:tcPr>
            <w:tcW w:w="1205" w:type="dxa"/>
            <w:tcBorders/>
            <w:tcMar>
              <w:bottom w:w="0" w:type="dxa"/>
            </w:tcMar>
            <w:vAlign w:val="center"/>
          </w:tcPr>
          <w:p>
            <w:pPr>
              <w:pStyle w:val="TableContents"/>
              <w:bidi w:val="0"/>
              <w:spacing w:before="0" w:after="283"/>
              <w:jc w:val="center"/>
              <w:rPr/>
            </w:pPr>
            <w:hyperlink w:anchor="tm2625764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764d1_ex99-4.htm">
              <w:r>
                <w:rPr>
                  <w:rStyle w:val="InternetLink"/>
                  <w:rFonts w:ascii="Times New Roman;Times;Serif" w:hAnsi="Times New Roman;Times;Serif"/>
                  <w:sz w:val="20"/>
                </w:rPr>
                <w:t>Next Day Disclosure Return dated September 17, 2026</w:t>
              </w:r>
            </w:hyperlink>
          </w:p>
        </w:tc>
      </w:tr>
      <w:tr>
        <w:trPr/>
        <w:tc>
          <w:tcPr>
            <w:tcW w:w="1205" w:type="dxa"/>
            <w:tcBorders/>
            <w:tcMar>
              <w:bottom w:w="0" w:type="dxa"/>
            </w:tcMar>
            <w:vAlign w:val="center"/>
          </w:tcPr>
          <w:p>
            <w:pPr>
              <w:pStyle w:val="TableContents"/>
              <w:bidi w:val="0"/>
              <w:spacing w:before="0" w:after="283"/>
              <w:jc w:val="center"/>
              <w:rPr/>
            </w:pPr>
            <w:hyperlink w:anchor="tm2625764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764d1_ex99-5.htm">
              <w:r>
                <w:rPr>
                  <w:rStyle w:val="InternetLink"/>
                  <w:rFonts w:ascii="Times New Roman;Times;Serif" w:hAnsi="Times New Roman;Times;Serif"/>
                  <w:sz w:val="20"/>
                </w:rPr>
                <w:t>Next Day Disclosure Return dated September 18,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5"/>
        <w:gridCol w:w="590"/>
        <w:gridCol w:w="80"/>
        <w:gridCol w:w="3470"/>
      </w:tblGrid>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80" w:type="dxa"/>
            <w:tcBorders/>
            <w:vAlign w:val="center"/>
          </w:tcPr>
          <w:p>
            <w:pPr>
              <w:pStyle w:val="TableContents"/>
              <w:bidi w:val="0"/>
              <w:spacing w:before="0" w:after="283"/>
              <w:jc w:val="left"/>
              <w:rPr/>
            </w:pPr>
            <w:r>
              <w:rPr/>
              <w:t> </w:t>
            </w:r>
          </w:p>
        </w:tc>
        <w:tc>
          <w:tcPr>
            <w:tcW w:w="3470"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5764d1_ex99-1.htm"/>
      <w:bookmarkStart w:id="3" w:name="kstm2625764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14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11 September 2026 1,721,314,057 97,011,052 1,818,325,109 1). Repurchase of shares (shares held as treasury shares) Date of changes 14 September 2026 -119,600 0.0069 % 119,600 HKD 46.8271 Closing balance as at (Notes 5 and 6) 14 September 2026 1,721,194,457 97,130,652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14 September 2026 119,600 On the Exchange HKD 47 HKD 46.44 HKD 5,600,521.16 Total number of shares repurchased 119,600 Aggregate price paid $ HKD 5,600,521.16 Number of shares repurchased for cancellation 0 Number of shares repurchased for holding as treasury shares 119,600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77,539,312 4). As a % of number of issued shares (excluding treasury shares) as at the date of the resolution granting the repurchase mandate (a) x 100 / number of issued shares (excluding treasury shares) as at the date of the resolution granting the repurchase mandate 3.619 % 5). Moratorium period for any issue of new shares, or sale or transfer of treasury shares after the share repurchase(s) set out in Part A (Note 2) Up to 14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5764d1_ex99-2.htm"/>
      <w:bookmarkStart w:id="5" w:name="kstm2625764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15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September 2026 1,721,194,457 97,130,652 1,818,325,109 1). Repurchase of shares (shares held as treasury shares) Date of changes 15 September 2026 -563,800 0.0328 % 563,800 HKD 46.4356 Closing balance as at (Notes 5 and 6) 15 September 2026 1,720,630,657 97,694,452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15 September 2026 563,800 On the Exchange HKD 47 HKD 46.06 HKD 26,180,391.28 Total number of shares repurchased 563,800 Aggregate price paid $ HKD 26,180,391.28 Number of shares repurchased for cancellation 0 Number of shares repurchased for holding as treasury shares 563,800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78,103,112 4). As a % of number of issued shares (excluding treasury shares) as at the date of the resolution granting the repurchase mandate (a) x 100 / number of issued shares (excluding treasury shares) as at the date of the resolution granting the repurchase mandate 3.645 % 5). Moratorium period for any issue of new shares, or sale or transfer of treasury shares after the share repurchase(s) set out in Part A (Note 2) Up to 15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5764d1_ex99-3.htm"/>
      <w:bookmarkStart w:id="7" w:name="kstm2625764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16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15 September 2026 1,720,630,657 97,694,452 1,818,325,109 1). Repurchase of shares (shares held as treasury shares) Date of changes 16 September 2026 -741,700 0.0431 % 741,700 HKD 46.7882 Closing balance as at (Notes 5 and 6) 16 September 2026 1,719,888,957 98,436,152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16 September 2026 741,700 On the Exchange HKD 47 HKD 45.98 HKD 34,702,807.94 Total number of shares repurchased 741,700 Aggregate price paid $ HKD 34,702,807.94 Number of shares repurchased for cancellation 0 Number of shares repurchased for holding as treasury shares 741,700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78,844,812 4). As a % of number of issued shares (excluding treasury shares) as at the date of the resolution granting the repurchase mandate (a) x 100 / number of issued shares (excluding treasury shares) as at the date of the resolution granting the repurchase mandate 3.68 % 5). Moratorium period for any issue of new shares, or sale or transfer of treasury shares after the share repurchase(s) set out in Part A (Note 2) Up to 16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5764d1_ex99-4.htm"/>
      <w:bookmarkStart w:id="9" w:name="kstm2625764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17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16 September 2026 1,719,888,957 98,436,152 1,818,325,109 1). Repurchase of shares (shares held as treasury shares) Date of changes 17 September 2026 -1,692,500 0.0984 % 1,692,500 HKD 46.121 Closing balance as at (Notes 5 and 6) 17 September 2026 1,718,196,457 100,128,652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17 September 2026 1,692,500 On the Exchange HKD 46.78 HKD 45.24 HKD 78,059,792.5 Total number of shares repurchased 1,692,500 Aggregate price paid $ HKD 78,059,792.5 Number of shares repurchased for cancellation 0 Number of shares repurchased for holding as treasury shares 1,692,500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80,537,312 4). As a % of number of issued shares (excluding treasury shares) as at the date of the resolution granting the repurchase mandate (a) x 100 / number of issued shares (excluding treasury shares) as at the date of the resolution granting the repurchase mandate 3.759 % 5). Moratorium period for any issue of new shares, or sale or transfer of treasury shares after the share repurchase(s) set out in Part A (Note 2) Up to 17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5764d1_ex99-5.htm"/>
      <w:bookmarkStart w:id="11" w:name="kstm2625764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September 2026 1,718,196,457 100,128,652 1,818,325,109 1). Repurchase of shares (shares held as treasury shares) Date of changes 18 September 2026 -3,400 0.0002 % 3,400 HKD 46.99 Closing balance as at (Notes 5 and 6) 18 September 2026 1,718,193,057 100,132,052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18 September 2026 3,400 On the Exchange HKD 47 HKD 46.98 HKD 159,766 Total number of shares repurchased 3,400 Aggregate price paid $ HKD 159,766 Number of shares repurchased for cancellation 0 Number of shares repurchased for holding as treasury shares 3,400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80,540,712 4). As a % of number of issued shares (excluding treasury shares) as at the date of the resolution granting the repurchase mandate (a) x 100 / number of issued shares (excluding treasury shares) as at the date of the resolution granting the repurchase mandate 3.759 % 5). Moratorium period for any issue of new shares, or sale or transfer of treasury shares after the share repurchase(s) set out in Part A (Note 2) Up to 18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2.jpeg"/><Relationship Id="rId24" Type="http://schemas.openxmlformats.org/officeDocument/2006/relationships/image" Target="media/image1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6854</Words>
  <Characters>33856</Characters>
  <CharactersWithSpaces>40707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