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195d1_6k.htm"/>
      <w:bookmarkStart w:id="1" w:name="kstm2626195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28" w:type="dxa"/>
          <w:right w:w="0" w:type="dxa"/>
        </w:tblCellMar>
      </w:tblPr>
      <w:tblGrid>
        <w:gridCol w:w="1205"/>
        <w:gridCol w:w="60"/>
        <w:gridCol w:w="446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center"/>
              <w:rPr/>
            </w:pPr>
            <w:r>
              <w:rPr/>
              <w:t> </w:t>
            </w:r>
          </w:p>
        </w:tc>
        <w:tc>
          <w:tcPr>
            <w:tcW w:w="446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619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center"/>
              <w:rPr/>
            </w:pPr>
            <w:r>
              <w:rPr/>
              <w:t> </w:t>
            </w:r>
          </w:p>
        </w:tc>
        <w:tc>
          <w:tcPr>
            <w:tcW w:w="4460" w:type="dxa"/>
            <w:tcBorders/>
            <w:tcMar>
              <w:bottom w:w="0" w:type="dxa"/>
            </w:tcMar>
            <w:vAlign w:val="center"/>
          </w:tcPr>
          <w:p>
            <w:pPr>
              <w:pStyle w:val="TableContents"/>
              <w:bidi w:val="0"/>
              <w:spacing w:before="0" w:after="283"/>
              <w:jc w:val="left"/>
              <w:rPr/>
            </w:pPr>
            <w:hyperlink w:anchor="tm2626195d1_ex99-1.htm">
              <w:r>
                <w:rPr>
                  <w:rStyle w:val="InternetLink"/>
                  <w:rFonts w:ascii="Times New Roman;Times;Serif" w:hAnsi="Times New Roman;Times;Serif"/>
                  <w:sz w:val="20"/>
                </w:rPr>
                <w:t>Next Day Disclosure Return dated September 21, 2026</w:t>
              </w:r>
            </w:hyperlink>
          </w:p>
        </w:tc>
      </w:tr>
      <w:tr>
        <w:trPr/>
        <w:tc>
          <w:tcPr>
            <w:tcW w:w="1205" w:type="dxa"/>
            <w:tcBorders/>
            <w:tcMar>
              <w:bottom w:w="0" w:type="dxa"/>
            </w:tcMar>
            <w:vAlign w:val="center"/>
          </w:tcPr>
          <w:p>
            <w:pPr>
              <w:pStyle w:val="TableContents"/>
              <w:bidi w:val="0"/>
              <w:spacing w:before="0" w:after="283"/>
              <w:jc w:val="center"/>
              <w:rPr/>
            </w:pPr>
            <w:hyperlink w:anchor="tm2626195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center"/>
              <w:rPr/>
            </w:pPr>
            <w:r>
              <w:rPr/>
              <w:t> </w:t>
            </w:r>
          </w:p>
        </w:tc>
        <w:tc>
          <w:tcPr>
            <w:tcW w:w="4460" w:type="dxa"/>
            <w:tcBorders/>
            <w:tcMar>
              <w:bottom w:w="0" w:type="dxa"/>
            </w:tcMar>
            <w:vAlign w:val="center"/>
          </w:tcPr>
          <w:p>
            <w:pPr>
              <w:pStyle w:val="TableContents"/>
              <w:bidi w:val="0"/>
              <w:spacing w:before="0" w:after="283"/>
              <w:jc w:val="left"/>
              <w:rPr/>
            </w:pPr>
            <w:hyperlink w:anchor="tm2626195d1_ex99-2.htm">
              <w:r>
                <w:rPr>
                  <w:rStyle w:val="InternetLink"/>
                  <w:rFonts w:ascii="Times New Roman;Times;Serif" w:hAnsi="Times New Roman;Times;Serif"/>
                  <w:sz w:val="20"/>
                </w:rPr>
                <w:t>Next Day Disclosure Return dated September 22, 2026</w:t>
              </w:r>
            </w:hyperlink>
          </w:p>
        </w:tc>
      </w:tr>
    </w:tbl>
    <w:p>
      <w:pPr>
        <w:pStyle w:val="TextBody"/>
        <w:bidi w:val="0"/>
        <w:spacing w:before="0" w:after="0"/>
        <w:ind w:left="0" w:right="0" w:firstLine="922"/>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92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sz w:val="20"/>
              </w:rPr>
            </w:pPr>
            <w:r>
              <w:rPr>
                <w:b/>
                <w:sz w:val="20"/>
              </w:rPr>
              <w:t>Li Auto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rFonts w:ascii="Times New Roman;Times;Serif" w:hAnsi="Times New Roman;Times;Serif"/>
          <w:b/>
          <w:sz w:val="20"/>
        </w:rPr>
      </w:pPr>
      <w:bookmarkStart w:id="2" w:name="tm2626195d1_ex99-1.htm"/>
      <w:bookmarkStart w:id="3" w:name="kstm2626195d1_ex991"/>
      <w:bookmarkEnd w:id="2"/>
      <w:bookmarkEnd w:id="3"/>
      <w:r>
        <w:rPr>
          <w:rFonts w:ascii="Times New Roman;Times;Serif" w:hAnsi="Times New Roman;Times;Serif"/>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21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18 September 2026 1,718,193,057 100,132,052 1,818,325,109 1). Repurchase of shares (shares held as treasury shares) Date of changes 21 September 2026 -1,272,800 0.074 % 1,272,800 HKD 45.7445 Closing balance as at (Notes 5 and 6) 21 September 2026 1,716,920,257 101,404,852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21 September 2026 1,272,800 On the Exchange HKD 47 HKD 44.84 HKD 58,223,599.6 Total number of shares repurchased 1,272,800 Aggregate price paid $ HKD 58,223,599.6 Number of shares repurchased for cancellation 0 Number of shares repurchased for holding as treasury shares 1,272,800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81,813,512 4). As a % of number of issued shares (excluding treasury shares) as at the date of the resolution granting the repurchase mandate (a) x 100 / number of issued shares (excluding treasury shares) as at the date of the resolution granting the repurchase mandate 3.818 % 5). Moratorium period for any issue of new shares, or sale or transfer of treasury shares after the share repurchase(s) set out in Part A (Note 2) Up to 21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ind w:left="0" w:right="0" w:hanging="0"/>
        <w:jc w:val="right"/>
        <w:rPr>
          <w:rFonts w:ascii="Times New Roman;Times;Serif" w:hAnsi="Times New Roman;Times;Serif"/>
          <w:b/>
          <w:sz w:val="20"/>
        </w:rPr>
      </w:pPr>
      <w:bookmarkStart w:id="4" w:name="tm2626195d1_ex99-2.htm"/>
      <w:bookmarkStart w:id="5" w:name="kstm2626195d1_ex992"/>
      <w:bookmarkEnd w:id="4"/>
      <w:bookmarkEnd w:id="5"/>
      <w:r>
        <w:rPr>
          <w:rFonts w:ascii="Times New Roman;Times;Serif" w:hAnsi="Times New Roman;Times;Serif"/>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22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21 September 2026 1,716,920,257 101,404,852 1,818,325,109 1). Repurchase of shares (shares held as treasury shares) Date of changes 22 September 2026 -890,100 0.0518 % 890,100 HKD 45.5793 Closing balance as at (Notes 5 and 6) 22 September 2026 1,716,030,157 102,294,952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22 September 2026 890,100 On the Exchange HKD 45.78 HKD 45.1 HKD 40,570,134.93 Total number of shares repurchased 890,100 Aggregate price paid $ HKD 40,570,134.93 Number of shares repurchased for cancellation 0 Number of shares repurchased for holding as treasury shares 890,100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82,703,612 4). As a % of number of issued shares (excluding treasury shares) as at the date of the resolution granting the repurchase mandate (a) x 100 / number of issued shares (excluding treasury shares) as at the date of the resolution granting the repurchase mandate 3.86 % 5). Moratorium period for any issue of new shares, or sale or transfer of treasury shares after the share repurchase(s) set out in Part A (Note 2) Up to 22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2828</Words>
  <Characters>14010</Characters>
  <CharactersWithSpaces>16848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