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5351d1_6k.htm"/>
      <w:bookmarkStart w:id="1" w:name="kstm2625351d1_6k"/>
      <w:bookmarkEnd w:id="0"/>
      <w:bookmarkEnd w:id="1"/>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001-39407</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Li Auto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Wenliang Street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Shunyi District, Beijing 101399</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28" w:type="dxa"/>
          <w:right w:w="0" w:type="dxa"/>
        </w:tblCellMar>
      </w:tblPr>
      <w:tblGrid>
        <w:gridCol w:w="995"/>
        <w:gridCol w:w="60"/>
        <w:gridCol w:w="446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446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5351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351d1_ex99-1.htm">
              <w:r>
                <w:rPr>
                  <w:rStyle w:val="InternetLink"/>
                  <w:rFonts w:ascii="Times New Roman;Times;Serif" w:hAnsi="Times New Roman;Times;Serif"/>
                  <w:sz w:val="20"/>
                </w:rPr>
                <w:t>Next Day Disclosure Return dated September 8, 2026</w:t>
              </w:r>
            </w:hyperlink>
          </w:p>
        </w:tc>
      </w:tr>
      <w:tr>
        <w:trPr/>
        <w:tc>
          <w:tcPr>
            <w:tcW w:w="995" w:type="dxa"/>
            <w:tcBorders/>
            <w:tcMar>
              <w:bottom w:w="0" w:type="dxa"/>
            </w:tcMar>
            <w:vAlign w:val="center"/>
          </w:tcPr>
          <w:p>
            <w:pPr>
              <w:pStyle w:val="TableContents"/>
              <w:bidi w:val="0"/>
              <w:spacing w:before="0" w:after="283"/>
              <w:jc w:val="center"/>
              <w:rPr/>
            </w:pPr>
            <w:hyperlink w:anchor="tm2625351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351d1_ex99-2.htm">
              <w:r>
                <w:rPr>
                  <w:rStyle w:val="InternetLink"/>
                  <w:rFonts w:ascii="Times New Roman;Times;Serif" w:hAnsi="Times New Roman;Times;Serif"/>
                  <w:sz w:val="20"/>
                </w:rPr>
                <w:t>Next Day Disclosure Return dated September 10, 2026</w:t>
              </w:r>
            </w:hyperlink>
          </w:p>
        </w:tc>
      </w:tr>
      <w:tr>
        <w:trPr/>
        <w:tc>
          <w:tcPr>
            <w:tcW w:w="995" w:type="dxa"/>
            <w:tcBorders/>
            <w:tcMar>
              <w:bottom w:w="0" w:type="dxa"/>
            </w:tcMar>
            <w:vAlign w:val="center"/>
          </w:tcPr>
          <w:p>
            <w:pPr>
              <w:pStyle w:val="TableContents"/>
              <w:bidi w:val="0"/>
              <w:spacing w:before="0" w:after="283"/>
              <w:jc w:val="center"/>
              <w:rPr/>
            </w:pPr>
            <w:hyperlink w:anchor="tm2625351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4460" w:type="dxa"/>
            <w:tcBorders/>
            <w:tcMar>
              <w:bottom w:w="0" w:type="dxa"/>
            </w:tcMar>
            <w:vAlign w:val="center"/>
          </w:tcPr>
          <w:p>
            <w:pPr>
              <w:pStyle w:val="TableContents"/>
              <w:bidi w:val="0"/>
              <w:spacing w:before="0" w:after="283"/>
              <w:jc w:val="left"/>
              <w:rPr/>
            </w:pPr>
            <w:hyperlink w:anchor="tm2625351d1_ex99-3.htm">
              <w:r>
                <w:rPr>
                  <w:rStyle w:val="InternetLink"/>
                  <w:rFonts w:ascii="Times New Roman;Times;Serif" w:hAnsi="Times New Roman;Times;Serif"/>
                  <w:sz w:val="20"/>
                </w:rPr>
                <w:t>Next Day Disclosure Return dated September 11,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215" w:type="dxa"/>
        <w:jc w:val="left"/>
        <w:tblInd w:w="0" w:type="dxa"/>
        <w:tblLayout w:type="fixed"/>
        <w:tblCellMar>
          <w:top w:w="0" w:type="dxa"/>
          <w:left w:w="0" w:type="dxa"/>
          <w:bottom w:w="0" w:type="dxa"/>
          <w:right w:w="0" w:type="dxa"/>
        </w:tblCellMar>
      </w:tblPr>
      <w:tblGrid>
        <w:gridCol w:w="75"/>
        <w:gridCol w:w="590"/>
        <w:gridCol w:w="80"/>
        <w:gridCol w:w="3470"/>
      </w:tblGrid>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b/>
              </w:rPr>
            </w:pPr>
            <w:r>
              <w:rPr>
                <w:b/>
              </w:rPr>
              <w:t>Li Auto Inc.</w:t>
            </w:r>
          </w:p>
        </w:tc>
      </w:tr>
      <w:tr>
        <w:trPr/>
        <w:tc>
          <w:tcPr>
            <w:tcW w:w="75" w:type="dxa"/>
            <w:tcBorders/>
            <w:vAlign w:val="center"/>
          </w:tcPr>
          <w:p>
            <w:pPr>
              <w:pStyle w:val="TableContents"/>
              <w:bidi w:val="0"/>
              <w:spacing w:before="0" w:after="283"/>
              <w:jc w:val="left"/>
              <w:rPr/>
            </w:pPr>
            <w:r>
              <w:rPr/>
              <w:t> </w:t>
            </w:r>
          </w:p>
        </w:tc>
        <w:tc>
          <w:tcPr>
            <w:tcW w:w="414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By</w:t>
            </w:r>
          </w:p>
        </w:tc>
        <w:tc>
          <w:tcPr>
            <w:tcW w:w="80" w:type="dxa"/>
            <w:tcBorders/>
            <w:vAlign w:val="center"/>
          </w:tcPr>
          <w:p>
            <w:pPr>
              <w:pStyle w:val="TableContents"/>
              <w:bidi w:val="0"/>
              <w:spacing w:before="0" w:after="283"/>
              <w:jc w:val="left"/>
              <w:rPr/>
            </w:pPr>
            <w:r>
              <w:rPr/>
              <w:t> </w:t>
            </w:r>
          </w:p>
        </w:tc>
        <w:tc>
          <w:tcPr>
            <w:tcW w:w="3470" w:type="dxa"/>
            <w:tcBorders>
              <w:bottom w:val="single" w:sz="8" w:space="0" w:color="000000"/>
            </w:tcBorders>
            <w:tcMar>
              <w:bottom w:w="28" w:type="dxa"/>
            </w:tcMar>
            <w:vAlign w:val="center"/>
          </w:tcPr>
          <w:p>
            <w:pPr>
              <w:pStyle w:val="TableContents"/>
              <w:bidi w:val="0"/>
              <w:spacing w:before="0" w:after="283"/>
              <w:jc w:val="left"/>
              <w:rPr/>
            </w:pPr>
            <w:r>
              <w:rPr/>
              <w:t>/s/ 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Name</w:t>
            </w:r>
          </w:p>
        </w:tc>
        <w:tc>
          <w:tcPr>
            <w:tcW w:w="8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pPr>
            <w:r>
              <w:rPr/>
              <w:t>Tie Li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Title</w:t>
            </w:r>
          </w:p>
        </w:tc>
        <w:tc>
          <w:tcPr>
            <w:tcW w:w="80" w:type="dxa"/>
            <w:tcBorders/>
            <w:vAlign w:val="center"/>
          </w:tcPr>
          <w:p>
            <w:pPr>
              <w:pStyle w:val="TableContents"/>
              <w:bidi w:val="0"/>
              <w:spacing w:before="0" w:after="283"/>
              <w:jc w:val="left"/>
              <w:rPr/>
            </w:pPr>
            <w:r>
              <w:rPr/>
              <w:t>:</w:t>
            </w:r>
          </w:p>
        </w:tc>
        <w:tc>
          <w:tcPr>
            <w:tcW w:w="3470" w:type="dxa"/>
            <w:tcBorders/>
            <w:vAlign w:val="center"/>
          </w:tcPr>
          <w:p>
            <w:pPr>
              <w:pStyle w:val="TableContents"/>
              <w:bidi w:val="0"/>
              <w:spacing w:before="0" w:after="283"/>
              <w:jc w:val="left"/>
              <w:rPr/>
            </w:pPr>
            <w:r>
              <w:rPr/>
              <w:t>Director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40" w:after="40"/>
        <w:ind w:left="0" w:right="0" w:hanging="0"/>
        <w:jc w:val="right"/>
        <w:rPr>
          <w:rFonts w:ascii="Times New Roman" w:hAnsi="Times New Roman"/>
          <w:b/>
          <w:sz w:val="20"/>
        </w:rPr>
      </w:pPr>
      <w:bookmarkStart w:id="2" w:name="tm2625351d1_ex99-1.htm"/>
      <w:bookmarkStart w:id="3" w:name="kstm2625351d1_ex991"/>
      <w:bookmarkEnd w:id="2"/>
      <w:bookmarkEnd w:id="3"/>
      <w:r>
        <w:rPr>
          <w:rFonts w:ascii="Times New Roman" w:hAnsi="Times New Roman"/>
          <w:b/>
          <w:sz w:val="20"/>
        </w:rPr>
        <w:t>Exhibit 99.1</w:t>
      </w:r>
      <w:r>
        <w:br w:type="page"/>
      </w:r>
    </w:p>
    <w:tbl>
      <w:tblPr>
        <w:tblW w:w="17713" w:type="dxa"/>
        <w:jc w:val="right"/>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08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03 September 2026 1,723,104,057 95,221,052 1,818,325,109 1). Repurchase of shares (shares held as treasury shares) Date of changes 08 September 2026 -539,100 0.0313 % 539,100 HKD 49.4037 Closing balance as at (Notes 5 and 6) 08 September 2026 1,722,564,957 95,760,152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08 September 2026 539,100 On the Exchange HKD 49.8 HKD 49.02 HKD 26,633,534.67 Total number of shares repurchased 539,100 Aggregate price paid $ HKD 26,633,534.67 Number of shares repurchased for cancellation 0 Number of shares repurchased for holding as treasury shares 539,100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76,168,812 4). As a % of number of issued shares (excluding treasury shares) as at the date of the resolution granting the repurchase mandate (a) x 100 / number of issued shares (excluding treasury shares) as at the date of the resolution granting the repurchase mandate 3.555 % 5). Moratorium period for any issue of new shares, or sale or transfer of treasury shares after the share repurchase(s) set out in Part A (Note 2) Up to 08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5351d1_ex99-2.htm"/>
      <w:bookmarkStart w:id="5" w:name="kstm2625351d1_ex992"/>
      <w:bookmarkEnd w:id="4"/>
      <w:bookmarkEnd w:id="5"/>
      <w:r>
        <w:rPr>
          <w:rFonts w:ascii="Times New Roman" w:hAnsi="Times New Roman"/>
          <w:b/>
          <w:sz w:val="20"/>
        </w:rPr>
        <w:t>Exhibit 99.2</w:t>
      </w:r>
      <w:r>
        <w:br w:type="page"/>
      </w:r>
    </w:p>
    <w:tbl>
      <w:tblPr>
        <w:tblW w:w="17713" w:type="dxa"/>
        <w:jc w:val="right"/>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10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08 September 2026 1,722,564,957 95,760,152 1,818,325,109 1). Repurchase of shares (shares held as treasury shares) Date of changes 10 September 2026 -571,300 0.0332 % 571,300 HKD 46.6615 Closing balance as at (Notes 5 and 6) 10 September 2026 1,721,993,657 96,331,452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10 September 2026 571,300 On the Exchange HKD 47 HKD 46.42 HKD 26,657,714.95 Total number of shares repurchased 571,300 Aggregate price paid $ HKD 26,657,714.95 Number of shares repurchased for cancellation 0 Number of shares repurchased for holding as treasury shares 571,300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76,740,112 4). As a % of number of issued shares (excluding treasury shares) as at the date of the resolution granting the repurchase mandate (a) x 100 / number of issued shares (excluding treasury shares) as at the date of the resolution granting the repurchase mandate 3.581 % 5). Moratorium period for any issue of new shares, or sale or transfer of treasury shares after the share repurchase(s) set out in Part A (Note 2) Up to 10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5351d1_ex99-3.htm"/>
      <w:bookmarkStart w:id="7" w:name="kstm2625351d1_ex993"/>
      <w:bookmarkEnd w:id="6"/>
      <w:bookmarkEnd w:id="7"/>
      <w:r>
        <w:rPr>
          <w:rFonts w:ascii="Times New Roman" w:hAnsi="Times New Roman"/>
          <w:b/>
          <w:sz w:val="20"/>
        </w:rPr>
        <w:t>Exhibit 99.3</w:t>
      </w:r>
      <w:r>
        <w:br w:type="page"/>
      </w:r>
    </w:p>
    <w:tbl>
      <w:tblPr>
        <w:tblW w:w="17713" w:type="dxa"/>
        <w:jc w:val="right"/>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 of 5 v 1.3.0 Next Day Disclosure Return (Equity issuer - changes in issued shares or treasury shares, share buybacks and/or on-market sales of treasury shares) Instrument: Equity issuer Status: New Submission Name of Issuer: Li Auto Inc. Date Submitted: 11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02015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10 September 2026 1,721,993,657 96,331,452 1,818,325,109 1). Repurchase of shares (shares held as treasury shares) Date of changes 11 September 2026 -679,600 0.039 % 679,600 HKD 46.0182 Closing balance as at (Notes 5 and 6) 11 September 2026 1,721,314,057 97,011,052 1,818,325,109 B. Shares redeemed or repurchased for cancellation but not yet cancelled as at the closing balance date (Notes 5 and 6) Not applicable</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5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3 of 5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02015 Description A. Repurchase report Trading date Number of shares repurchased Method of repurchase (Note 1) Repurchase price per share or highest repurchase price per share $ Lowest repurchase price per share $ Aggregate price paid $ 1). 11 September 2026 679,600 On the Exchange HKD 46.44 HKD 45.38 HKD 31,273,968.72 Total number of shares repurchased 679,600 Aggregate price paid $ HKD 31,273,968.72 Number of shares repurchased for cancellation 0 Number of shares repurchased for holding as treasury shares 679,600 B. Additional information for issuer who has a primary listing on the Exchange 1). Date of the resolution granting the repurchase mandate 29 May 2026 2). Total number of shares which the issuer is authorised to repurchase under the repurchase mandate 214,280,424 3). Number of shares repurchased on the Exchange or another stock exchange under the repurchase mandate (a) 77,419,712 4). As a % of number of issued shares (excluding treasury shares) as at the date of the resolution granting the repurchase mandate (a) x 100 / number of issued shares (excluding treasury shares) as at the date of the resolution granting the repurchase mandate 3.613 % 5). Moratorium period for any issue of new shares, or sale or transfer of treasury shares after the share repurchase(s) set out in Part A (Note 2) Up to 11 October 2026 We hereby confirm that the repurchases made on the Exchange set out in Part A above were made in accordance with the Main Board Rules and that there have been no material changes to the particulars contained in the Explanatory Statement dated 22 April 2026, which has been filed with the Exchange. We also confirm that any repurchases made on another stock exchange set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4 of 5 v 1.3.0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5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Wang Yang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2.jpeg"/><Relationship Id="rId9" Type="http://schemas.openxmlformats.org/officeDocument/2006/relationships/image" Target="media/image7.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8.jpeg"/><Relationship Id="rId13" Type="http://schemas.openxmlformats.org/officeDocument/2006/relationships/image" Target="media/image2.jpeg"/><Relationship Id="rId14" Type="http://schemas.openxmlformats.org/officeDocument/2006/relationships/image" Target="media/image9.jpe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4170</Words>
  <Characters>20625</Characters>
  <CharactersWithSpaces>24804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