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5887d1_6k.htm"/>
      <w:bookmarkStart w:id="1" w:name="kstm261588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28" w:type="dxa"/>
          <w:right w:w="0" w:type="dxa"/>
        </w:tblCellMar>
      </w:tblPr>
      <w:tblGrid>
        <w:gridCol w:w="1205"/>
        <w:gridCol w:w="60"/>
        <w:gridCol w:w="7115"/>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11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1588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115" w:type="dxa"/>
            <w:tcBorders/>
            <w:tcMar>
              <w:bottom w:w="0" w:type="dxa"/>
            </w:tcMar>
            <w:vAlign w:val="center"/>
          </w:tcPr>
          <w:p>
            <w:pPr>
              <w:pStyle w:val="TableContents"/>
              <w:bidi w:val="0"/>
              <w:spacing w:before="0" w:after="283"/>
              <w:jc w:val="left"/>
              <w:rPr/>
            </w:pPr>
            <w:hyperlink w:anchor="tm2615887d1_ex99-1.htm">
              <w:r>
                <w:rPr>
                  <w:rStyle w:val="InternetLink"/>
                  <w:rFonts w:ascii="Times New Roman;Times;Serif" w:hAnsi="Times New Roman;Times;Serif"/>
                  <w:sz w:val="20"/>
                </w:rPr>
                <w:t>Press Release</w:t>
              </w:r>
            </w:hyperlink>
            <w:hyperlink w:anchor="tm2615887d1_ex99-1.htm">
              <w:r>
                <w:rPr>
                  <w:rStyle w:val="InternetLink"/>
                  <w:sz w:val="20"/>
                </w:rPr>
                <w:t>—</w:t>
              </w:r>
            </w:hyperlink>
            <w:hyperlink w:anchor="tm2615887d1_ex99-1.htm">
              <w:r>
                <w:rPr>
                  <w:rStyle w:val="InternetLink"/>
                  <w:rFonts w:ascii="Times New Roman;Times;Serif" w:hAnsi="Times New Roman;Times;Serif"/>
                  <w:sz w:val="20"/>
                </w:rPr>
                <w:t>Li Auto Inc. Announces Unaudited First Quarter 2026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sz w:val="20"/>
              </w:rPr>
            </w:pPr>
            <w:r>
              <w:rPr>
                <w:b/>
                <w:sz w:val="20"/>
              </w:rPr>
              <w:t>Li Auto Inc.</w:t>
            </w:r>
          </w:p>
        </w:tc>
      </w:tr>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15887d1_ex99-1.htm"/>
      <w:bookmarkStart w:id="3" w:name="kstm2615887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257175"/>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 Announces Unaudited First Quarter 2026 Financial Results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total revenues reached RMB23.0 billion (US$3.3 billion)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deliveries were 95,142 vehicles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May 28, 2026 — Li Auto Inc. (“Li Auto” or the “Company”) (Nasdaq: LI; HKEX: 2015), a leader in China’s new energy vehicle market, today announced its unaudited financial results for the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Highlights for the First Quarter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deliveries for the first quarter of 2026 were 95,142 vehicles, representing a 2.5% year-over-year increase.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89" w:type="dxa"/>
        <w:jc w:val="center"/>
        <w:tblInd w:w="0" w:type="dxa"/>
        <w:tblLayout w:type="fixed"/>
        <w:tblCellMar>
          <w:top w:w="0" w:type="dxa"/>
          <w:left w:w="0" w:type="dxa"/>
          <w:bottom w:w="0" w:type="dxa"/>
          <w:right w:w="0" w:type="dxa"/>
        </w:tblCellMar>
      </w:tblPr>
      <w:tblGrid>
        <w:gridCol w:w="890"/>
        <w:gridCol w:w="60"/>
        <w:gridCol w:w="68"/>
        <w:gridCol w:w="671"/>
        <w:gridCol w:w="60"/>
        <w:gridCol w:w="60"/>
        <w:gridCol w:w="60"/>
        <w:gridCol w:w="695"/>
        <w:gridCol w:w="60"/>
        <w:gridCol w:w="60"/>
        <w:gridCol w:w="60"/>
        <w:gridCol w:w="695"/>
        <w:gridCol w:w="60"/>
        <w:gridCol w:w="60"/>
        <w:gridCol w:w="60"/>
        <w:gridCol w:w="695"/>
        <w:gridCol w:w="75"/>
      </w:tblGrid>
      <w:tr>
        <w:trPr/>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 Q1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 Q4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 Q3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 Q2</w:t>
            </w:r>
          </w:p>
        </w:tc>
        <w:tc>
          <w:tcPr>
            <w:tcW w:w="75" w:type="dxa"/>
            <w:tcBorders/>
            <w:vAlign w:val="center"/>
          </w:tcPr>
          <w:p>
            <w:pPr>
              <w:pStyle w:val="TableContents"/>
              <w:bidi w:val="0"/>
              <w:spacing w:before="0" w:after="283"/>
              <w:ind w:left="0" w:right="0" w:hanging="202"/>
              <w:jc w:val="left"/>
              <w:rPr/>
            </w:pPr>
            <w:r>
              <w:rPr/>
              <w:t> </w:t>
            </w:r>
          </w:p>
        </w:tc>
      </w:tr>
      <w:tr>
        <w:trPr/>
        <w:tc>
          <w:tcPr>
            <w:tcW w:w="890" w:type="dxa"/>
            <w:tcBorders/>
            <w:shd w:fill="CCEEFF" w:val="clear"/>
            <w:vAlign w:val="center"/>
          </w:tcPr>
          <w:p>
            <w:pPr>
              <w:pStyle w:val="TableContents"/>
              <w:bidi w:val="0"/>
              <w:spacing w:before="0" w:after="283"/>
              <w:jc w:val="left"/>
              <w:rPr>
                <w:b/>
                <w:sz w:val="20"/>
              </w:rPr>
            </w:pPr>
            <w:r>
              <w:rPr>
                <w:b/>
                <w:sz w:val="20"/>
              </w:rPr>
              <w:t>Deliveries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sz w:val="20"/>
              </w:rPr>
            </w:pPr>
            <w:r>
              <w:rPr>
                <w:sz w:val="20"/>
              </w:rPr>
              <w:t>95,142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109,194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93,211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111,074</w:t>
            </w:r>
          </w:p>
        </w:tc>
        <w:tc>
          <w:tcPr>
            <w:tcW w:w="75" w:type="dxa"/>
            <w:tcBorders/>
            <w:shd w:fill="CCEEFF" w:val="clear"/>
            <w:vAlign w:val="center"/>
          </w:tcPr>
          <w:p>
            <w:pPr>
              <w:pStyle w:val="TableContents"/>
              <w:bidi w:val="0"/>
              <w:spacing w:before="0" w:after="283"/>
              <w:ind w:left="0" w:right="0" w:hanging="202"/>
              <w:jc w:val="left"/>
              <w:rPr/>
            </w:pPr>
            <w:r>
              <w:rPr/>
              <w:t> </w:t>
            </w:r>
          </w:p>
        </w:tc>
      </w:tr>
      <w:tr>
        <w:trPr/>
        <w:tc>
          <w:tcPr>
            <w:tcW w:w="8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 Q1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 Q4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 Q3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 Q2</w:t>
            </w:r>
          </w:p>
        </w:tc>
        <w:tc>
          <w:tcPr>
            <w:tcW w:w="75" w:type="dxa"/>
            <w:tcBorders/>
            <w:vAlign w:val="center"/>
          </w:tcPr>
          <w:p>
            <w:pPr>
              <w:pStyle w:val="TableContents"/>
              <w:bidi w:val="0"/>
              <w:spacing w:before="0" w:after="283"/>
              <w:ind w:left="0" w:right="0" w:hanging="202"/>
              <w:jc w:val="left"/>
              <w:rPr/>
            </w:pPr>
            <w:r>
              <w:rPr/>
              <w:t> </w:t>
            </w:r>
          </w:p>
        </w:tc>
      </w:tr>
      <w:tr>
        <w:trPr/>
        <w:tc>
          <w:tcPr>
            <w:tcW w:w="890" w:type="dxa"/>
            <w:tcBorders/>
            <w:shd w:fill="CCEEFF" w:val="clear"/>
            <w:vAlign w:val="center"/>
          </w:tcPr>
          <w:p>
            <w:pPr>
              <w:pStyle w:val="TableContents"/>
              <w:bidi w:val="0"/>
              <w:spacing w:before="0" w:after="283"/>
              <w:jc w:val="left"/>
              <w:rPr>
                <w:b/>
                <w:sz w:val="20"/>
              </w:rPr>
            </w:pPr>
            <w:r>
              <w:rPr>
                <w:b/>
                <w:sz w:val="20"/>
              </w:rPr>
              <w:t>Deliveries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sz w:val="20"/>
              </w:rPr>
            </w:pPr>
            <w:r>
              <w:rPr>
                <w:sz w:val="20"/>
              </w:rPr>
              <w:t>92,864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158,696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152,831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108,581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As of March 31, 2026, in China, the Company had 517 retail stores in 160 cities, 552 servicing centers and Li Auto-authorized servicing shops operating in 223 cities, and 4,057 super charging stations in operation equipped with 22,439 charging stalls.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Highlights for the First Quarter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Vehicle sales</w:t>
            </w:r>
            <w:r>
              <w:rPr/>
              <w:t xml:space="preserve"> were RMB21.5 billion (US$3.1 billion) in the first quarter of 2026, representing a decrease of 12.7% from RMB24.7 billion in the first quarter of 2025 and a decrease of 21.0% from RMB27.3 billion in the fourth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Vehicle margin</w:t>
            </w:r>
            <w:r>
              <w:rPr>
                <w:b/>
                <w:position w:val="7"/>
                <w:sz w:val="16"/>
                <w:sz w:val="20"/>
              </w:rPr>
              <w:t>2</w:t>
            </w:r>
            <w:r>
              <w:rPr/>
              <w:t xml:space="preserve"> was 6.1% in the first quarter of 2026, compared with 19.8% in the first quarter of 2025 and 16.8% in the fourth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Total revenues</w:t>
            </w:r>
            <w:r>
              <w:rPr/>
              <w:t xml:space="preserve"> were RMB23.0 billion (US$3.3 billion) in the first quarter of 2026, representing a decrease of 11.4% from RMB25.9 billion in the first quarter of 2025 and a decrease of 20.1% from RMB28.8 billion in the fourth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Gross profit </w:t>
            </w:r>
            <w:r>
              <w:rPr/>
              <w:t>was RMB1.8 billion (US$262.1 million) in the first quarter of 2026, representing a decrease of 66.0% from RMB5.3 billion in the first quarter of 2025 and a decrease of 64.8% from RMB5.1 billion in the fourth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Gross margin</w:t>
            </w:r>
            <w:r>
              <w:rPr/>
              <w:t xml:space="preserve"> was 7.9% in the first quarter of 2026, compared with 20.5% in the first quarter of 2025 and 17.8% in the fourth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Operating expenses</w:t>
            </w:r>
            <w:r>
              <w:rPr/>
              <w:t xml:space="preserve"> were RMB4.8 billion (US$696.8 million) in the first quarter of 2026, representing a decrease of 4.8% from RMB5.0 billion in the first quarter of 2025 and a decrease of 13.8% from RMB5.6 billion in the fourth quarter of 2025.</w:t>
              <w:tab/>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All translations from Renminbi (“RMB”) to U.S. dollars (“US$”) are made at a rate of RMB6.8980 to US$1.00, the exchange rate on March 31, 2026 as set forth in the H.10 statistical release of the Federal Reserve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Vehicle margin is the margin of vehicle sales, which is calculated based on revenues and cost of sales derived from vehicle sales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Loss from operations</w:t>
            </w:r>
            <w:r>
              <w:rPr/>
              <w:t xml:space="preserve"> was RMB3.0 billion (US$434.7 million) in the first quarter of 2026, compared with RMB271.7 million income from operations in the first quarter of 2025 and RMB442.6 million loss from operations in the fourth quarter of 2025.</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Operating margin </w:t>
            </w:r>
            <w:r>
              <w:rPr/>
              <w:t>was negative 13.0% in the first quarter of 2026, compared with 1.0% in the first quarter of 2025 and negative 1.5% in the fourth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Net loss </w:t>
            </w:r>
            <w:r>
              <w:rPr/>
              <w:t xml:space="preserve">was RMB2.3 billion (US$330.0 million) in the first quarter of 2026, compared with net income of RMB646.6 million in the first quarter of 2025 and RMB20.2 million in the fourth quarter of 2025. </w:t>
            </w:r>
            <w:r>
              <w:rPr>
                <w:b/>
              </w:rPr>
              <w:t>Non-GAAP net loss</w:t>
            </w:r>
            <w:r>
              <w:rPr>
                <w:b/>
                <w:position w:val="8"/>
                <w:sz w:val="19"/>
              </w:rPr>
              <w:t>3</w:t>
            </w:r>
            <w:r>
              <w:rPr/>
              <w:t xml:space="preserve"> was RMB2.1 billion (US$305.6 million) in the first quarter of 2026, compared with non-GAAP net income of RMB1.0 billion in the first quarter of 2025 and RMB274.4 million in the fourth quarter of 2025.</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Diluted net loss per ADS</w:t>
            </w:r>
            <w:r>
              <w:rPr>
                <w:b/>
                <w:position w:val="8"/>
                <w:sz w:val="19"/>
              </w:rPr>
              <w:t>4</w:t>
            </w:r>
            <w:r>
              <w:rPr>
                <w:b/>
              </w:rPr>
              <w:t xml:space="preserve"> attributable to ordinary shareholders </w:t>
            </w:r>
            <w:r>
              <w:rPr/>
              <w:t xml:space="preserve">was RMB2.26 (US$0.33) in the first quarter of 2026, compared with diluted net earnings per ADS attributable to ordinary shareholders of RMB0.62 in the first quarter of 2025 and RMB0.01 in the fourth quarter of 2025. </w:t>
            </w:r>
            <w:r>
              <w:rPr>
                <w:b/>
              </w:rPr>
              <w:t>Non-GAAP diluted net loss per ADS attributable to ordinary shareholders</w:t>
            </w:r>
            <w:r>
              <w:rPr/>
              <w:t xml:space="preserve"> was RMB2.09 (US$0.30) in the first quarter of 2026, compared with non-GAAP diluted net earnings per ADS attributable to ordinary shareholders of RMB0.96 in the first quarter of 2025 and RMB0.25 in the fourth quarter of 2025.</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Net cash used in operating activities </w:t>
            </w:r>
            <w:r>
              <w:rPr/>
              <w:t>was RMB6.1 billion (US$883.0 million) in the first quarter of 2026, compared with RMB1.7 billion net cash used in operating activities in the first quarter of 2025 and RMB3.5 billion net cash provided by operating activities in the fourth quarter of 2025.</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Free cash flow</w:t>
            </w:r>
            <w:r>
              <w:rPr>
                <w:b/>
                <w:position w:val="8"/>
                <w:sz w:val="19"/>
              </w:rPr>
              <w:t>5</w:t>
            </w:r>
            <w:r>
              <w:rPr/>
              <w:t xml:space="preserve"> was negative RMB7.4 billion (US$1.1 billion) in the first quarter of 2026, compared with negative RMB2.5 billion in the first quarter of 2025 and RMB2.5 billion in the fourth quarter of 2025.</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Company’s non-GAAP financial measures exclude share-based compensation expenses and release of valuation allowance on deferred tax assets. See “Unaudited Reconciliation of U.S. GAAP and Non-GAAP Results” set forth at the end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4</w:t>
      </w:r>
      <w:r>
        <w:rPr>
          <w:rFonts w:ascii="Times New Roman;Times;Serif" w:hAnsi="Times New Roman;Times;Serif"/>
          <w:b w:val="false"/>
          <w:i/>
          <w:caps w:val="false"/>
          <w:smallCaps w:val="false"/>
          <w:sz w:val="20"/>
        </w:rPr>
        <w:t xml:space="preserve"> Each ADS represents two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Free cash flow represents operating cash flow less capital expenditures, which is considered a non-GAAP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Key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for percentages and per 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29"/>
        <w:gridCol w:w="60"/>
        <w:gridCol w:w="66"/>
        <w:gridCol w:w="818"/>
        <w:gridCol w:w="185"/>
        <w:gridCol w:w="60"/>
        <w:gridCol w:w="80"/>
        <w:gridCol w:w="1012"/>
        <w:gridCol w:w="223"/>
        <w:gridCol w:w="60"/>
        <w:gridCol w:w="66"/>
        <w:gridCol w:w="818"/>
        <w:gridCol w:w="223"/>
        <w:gridCol w:w="60"/>
        <w:gridCol w:w="60"/>
        <w:gridCol w:w="485"/>
        <w:gridCol w:w="320"/>
        <w:gridCol w:w="60"/>
        <w:gridCol w:w="60"/>
        <w:gridCol w:w="485"/>
        <w:gridCol w:w="275"/>
      </w:tblGrid>
      <w:tr>
        <w:trPr/>
        <w:tc>
          <w:tcPr>
            <w:tcW w:w="472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388"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r>
              <w:rPr>
                <w:b/>
                <w:position w:val="7"/>
                <w:sz w:val="16"/>
                <w:sz w:val="20"/>
              </w:rPr>
              <w:t>6</w:t>
            </w:r>
          </w:p>
        </w:tc>
        <w:tc>
          <w:tcPr>
            <w:tcW w:w="275" w:type="dxa"/>
            <w:tcBorders/>
            <w:vAlign w:val="center"/>
          </w:tcPr>
          <w:p>
            <w:pPr>
              <w:pStyle w:val="TableContents"/>
              <w:bidi w:val="0"/>
              <w:spacing w:before="0" w:after="283"/>
              <w:ind w:left="0" w:right="0" w:hanging="180"/>
              <w:jc w:val="left"/>
              <w:rPr/>
            </w:pPr>
            <w:r>
              <w:rPr/>
              <w:t> </w:t>
            </w:r>
          </w:p>
        </w:tc>
      </w:tr>
      <w:tr>
        <w:trPr/>
        <w:tc>
          <w:tcPr>
            <w:tcW w:w="4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2025</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YoY</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QoQ</w:t>
            </w:r>
          </w:p>
        </w:tc>
        <w:tc>
          <w:tcPr>
            <w:tcW w:w="275" w:type="dxa"/>
            <w:tcBorders/>
            <w:vAlign w:val="center"/>
          </w:tcPr>
          <w:p>
            <w:pPr>
              <w:pStyle w:val="TableContents"/>
              <w:bidi w:val="0"/>
              <w:spacing w:before="0" w:after="283"/>
              <w:ind w:left="0" w:right="0" w:hanging="180"/>
              <w:jc w:val="left"/>
              <w:rPr/>
            </w:pPr>
            <w:r>
              <w:rPr/>
              <w:t> </w:t>
            </w:r>
          </w:p>
        </w:tc>
      </w:tr>
      <w:tr>
        <w:trPr/>
        <w:tc>
          <w:tcPr>
            <w:tcW w:w="4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 w:type="dxa"/>
            <w:gridSpan w:val="2"/>
            <w:tcBorders/>
            <w:vAlign w:val="center"/>
          </w:tcPr>
          <w:p>
            <w:pPr>
              <w:pStyle w:val="TableContents"/>
              <w:bidi w:val="0"/>
              <w:spacing w:before="0" w:after="283"/>
              <w:jc w:val="center"/>
              <w:rPr>
                <w:b/>
                <w:sz w:val="20"/>
              </w:rPr>
            </w:pPr>
            <w:r>
              <w:rPr>
                <w:b/>
                <w:sz w:val="20"/>
              </w:rPr>
              <w:t>RMB</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2" w:type="dxa"/>
            <w:gridSpan w:val="2"/>
            <w:tcBorders/>
            <w:vAlign w:val="center"/>
          </w:tcPr>
          <w:p>
            <w:pPr>
              <w:pStyle w:val="TableContents"/>
              <w:bidi w:val="0"/>
              <w:spacing w:before="0" w:after="283"/>
              <w:jc w:val="center"/>
              <w:rPr>
                <w:b/>
                <w:sz w:val="20"/>
              </w:rPr>
            </w:pPr>
            <w:r>
              <w:rPr>
                <w:b/>
                <w:sz w:val="20"/>
              </w:rPr>
              <w:t>RMB</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 w:type="dxa"/>
            <w:gridSpan w:val="2"/>
            <w:tcBorders/>
            <w:vAlign w:val="center"/>
          </w:tcPr>
          <w:p>
            <w:pPr>
              <w:pStyle w:val="TableContents"/>
              <w:bidi w:val="0"/>
              <w:spacing w:before="0" w:after="283"/>
              <w:jc w:val="center"/>
              <w:rPr>
                <w:b/>
                <w:sz w:val="20"/>
              </w:rPr>
            </w:pPr>
            <w:r>
              <w:rPr>
                <w:b/>
                <w:sz w:val="20"/>
              </w:rPr>
              <w:t>RMB</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ind w:left="0" w:right="0" w:hanging="180"/>
              <w:jc w:val="left"/>
              <w:rPr/>
            </w:pPr>
            <w:r>
              <w:rPr/>
              <w:t> </w:t>
            </w:r>
          </w:p>
        </w:tc>
      </w:tr>
      <w:tr>
        <w:trPr/>
        <w:tc>
          <w:tcPr>
            <w:tcW w:w="4729" w:type="dxa"/>
            <w:tcBorders/>
            <w:shd w:fill="CCEEFF" w:val="clear"/>
            <w:vAlign w:val="center"/>
          </w:tcPr>
          <w:p>
            <w:pPr>
              <w:pStyle w:val="TableContents"/>
              <w:bidi w:val="0"/>
              <w:spacing w:before="0" w:after="283"/>
              <w:jc w:val="left"/>
              <w:rPr>
                <w:sz w:val="20"/>
              </w:rPr>
            </w:pPr>
            <w:r>
              <w:rPr>
                <w:sz w:val="20"/>
              </w:rPr>
              <w:t>Vehicle sales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24,678.6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27,252.3</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21,533.2</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(12.7</w:t>
            </w:r>
          </w:p>
        </w:tc>
        <w:tc>
          <w:tcPr>
            <w:tcW w:w="32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(21.0</w:t>
            </w:r>
          </w:p>
        </w:tc>
        <w:tc>
          <w:tcPr>
            <w:tcW w:w="27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4729" w:type="dxa"/>
            <w:tcBorders/>
            <w:shd w:fill="FFFFFF" w:val="clear"/>
            <w:vAlign w:val="center"/>
          </w:tcPr>
          <w:p>
            <w:pPr>
              <w:pStyle w:val="TableContents"/>
              <w:bidi w:val="0"/>
              <w:spacing w:before="0" w:after="283"/>
              <w:jc w:val="left"/>
              <w:rPr>
                <w:sz w:val="20"/>
              </w:rPr>
            </w:pPr>
            <w:r>
              <w:rPr>
                <w:sz w:val="20"/>
              </w:rPr>
              <w:t>Vehicle margin</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19.8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16.8</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6.1</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(13.7</w:t>
            </w:r>
          </w:p>
        </w:tc>
        <w:tc>
          <w:tcPr>
            <w:tcW w:w="320" w:type="dxa"/>
            <w:tcBorders/>
            <w:shd w:fill="FFFFFF" w:val="clear"/>
            <w:vAlign w:val="center"/>
          </w:tcPr>
          <w:p>
            <w:pPr>
              <w:pStyle w:val="TableContents"/>
              <w:bidi w:val="0"/>
              <w:spacing w:before="0" w:after="283"/>
              <w:jc w:val="left"/>
              <w:rPr>
                <w:sz w:val="20"/>
              </w:rPr>
            </w:pPr>
            <w:r>
              <w:rPr>
                <w:sz w:val="20"/>
              </w:rPr>
              <w:t>)pts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(10.7</w:t>
            </w:r>
          </w:p>
        </w:tc>
        <w:tc>
          <w:tcPr>
            <w:tcW w:w="275" w:type="dxa"/>
            <w:tcBorders/>
            <w:shd w:fill="FFFFFF" w:val="clear"/>
            <w:vAlign w:val="center"/>
          </w:tcPr>
          <w:p>
            <w:pPr>
              <w:pStyle w:val="TableContents"/>
              <w:bidi w:val="0"/>
              <w:spacing w:before="0" w:after="283"/>
              <w:ind w:left="0" w:right="0" w:hanging="180"/>
              <w:jc w:val="left"/>
              <w:rPr>
                <w:sz w:val="20"/>
              </w:rPr>
            </w:pPr>
            <w:r>
              <w:rPr>
                <w:sz w:val="20"/>
              </w:rPr>
              <w:t>)pts</w:t>
            </w:r>
          </w:p>
        </w:tc>
      </w:tr>
      <w:tr>
        <w:trPr/>
        <w:tc>
          <w:tcPr>
            <w:tcW w:w="4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4729" w:type="dxa"/>
            <w:tcBorders/>
            <w:shd w:fill="FFFFFF" w:val="clear"/>
            <w:vAlign w:val="center"/>
          </w:tcPr>
          <w:p>
            <w:pPr>
              <w:pStyle w:val="TableContents"/>
              <w:bidi w:val="0"/>
              <w:spacing w:before="0" w:after="283"/>
              <w:jc w:val="left"/>
              <w:rPr>
                <w:sz w:val="20"/>
              </w:rPr>
            </w:pPr>
            <w:r>
              <w:rPr>
                <w:sz w:val="20"/>
              </w:rPr>
              <w:t>Total revenues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25,926.8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28,775.4</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22,982.9</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(11.4</w:t>
            </w:r>
          </w:p>
        </w:tc>
        <w:tc>
          <w:tcPr>
            <w:tcW w:w="32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(20.1</w:t>
            </w:r>
          </w:p>
        </w:tc>
        <w:tc>
          <w:tcPr>
            <w:tcW w:w="275"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4729"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5,318.5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5,130.6</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1,808.0</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(66.0</w:t>
            </w:r>
          </w:p>
        </w:tc>
        <w:tc>
          <w:tcPr>
            <w:tcW w:w="32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(64.8</w:t>
            </w:r>
          </w:p>
        </w:tc>
        <w:tc>
          <w:tcPr>
            <w:tcW w:w="27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4729" w:type="dxa"/>
            <w:tcBorders/>
            <w:shd w:fill="FFFFFF" w:val="clear"/>
            <w:vAlign w:val="center"/>
          </w:tcPr>
          <w:p>
            <w:pPr>
              <w:pStyle w:val="TableContents"/>
              <w:bidi w:val="0"/>
              <w:spacing w:before="0" w:after="283"/>
              <w:jc w:val="left"/>
              <w:rPr>
                <w:sz w:val="20"/>
              </w:rPr>
            </w:pPr>
            <w:r>
              <w:rPr>
                <w:sz w:val="20"/>
              </w:rPr>
              <w:t>Gross margin</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20.5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17.8</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7.9</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(12.6</w:t>
            </w:r>
          </w:p>
        </w:tc>
        <w:tc>
          <w:tcPr>
            <w:tcW w:w="320" w:type="dxa"/>
            <w:tcBorders/>
            <w:shd w:fill="FFFFFF" w:val="clear"/>
            <w:vAlign w:val="center"/>
          </w:tcPr>
          <w:p>
            <w:pPr>
              <w:pStyle w:val="TableContents"/>
              <w:bidi w:val="0"/>
              <w:spacing w:before="0" w:after="283"/>
              <w:jc w:val="left"/>
              <w:rPr>
                <w:sz w:val="20"/>
              </w:rPr>
            </w:pPr>
            <w:r>
              <w:rPr>
                <w:sz w:val="20"/>
              </w:rPr>
              <w:t>)pts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(9.9</w:t>
            </w:r>
          </w:p>
        </w:tc>
        <w:tc>
          <w:tcPr>
            <w:tcW w:w="275" w:type="dxa"/>
            <w:tcBorders/>
            <w:shd w:fill="FFFFFF" w:val="clear"/>
            <w:vAlign w:val="center"/>
          </w:tcPr>
          <w:p>
            <w:pPr>
              <w:pStyle w:val="TableContents"/>
              <w:bidi w:val="0"/>
              <w:spacing w:before="0" w:after="283"/>
              <w:ind w:left="0" w:right="0" w:hanging="180"/>
              <w:jc w:val="left"/>
              <w:rPr>
                <w:sz w:val="20"/>
              </w:rPr>
            </w:pPr>
            <w:r>
              <w:rPr>
                <w:sz w:val="20"/>
              </w:rPr>
              <w:t>)pts</w:t>
            </w:r>
          </w:p>
        </w:tc>
      </w:tr>
      <w:tr>
        <w:trPr/>
        <w:tc>
          <w:tcPr>
            <w:tcW w:w="4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4729"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(5,046.8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(5,573.2</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(4,806.8</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(4.8</w:t>
            </w:r>
          </w:p>
        </w:tc>
        <w:tc>
          <w:tcPr>
            <w:tcW w:w="32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(13.8</w:t>
            </w:r>
          </w:p>
        </w:tc>
        <w:tc>
          <w:tcPr>
            <w:tcW w:w="275"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4729" w:type="dxa"/>
            <w:tcBorders/>
            <w:shd w:fill="CCEEFF" w:val="clear"/>
            <w:vAlign w:val="center"/>
          </w:tcPr>
          <w:p>
            <w:pPr>
              <w:pStyle w:val="TableContents"/>
              <w:bidi w:val="0"/>
              <w:spacing w:before="0" w:after="283"/>
              <w:jc w:val="left"/>
              <w:rPr>
                <w:sz w:val="20"/>
              </w:rPr>
            </w:pPr>
            <w:r>
              <w:rPr>
                <w:sz w:val="20"/>
              </w:rPr>
              <w:t>Income/(Loss) from operations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271.7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(442.6</w:t>
            </w:r>
          </w:p>
        </w:tc>
        <w:tc>
          <w:tcPr>
            <w:tcW w:w="22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(2,998.8</w:t>
            </w:r>
          </w:p>
        </w:tc>
        <w:tc>
          <w:tcPr>
            <w:tcW w:w="22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N/A</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577.6</w:t>
            </w:r>
          </w:p>
        </w:tc>
        <w:tc>
          <w:tcPr>
            <w:tcW w:w="27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4729" w:type="dxa"/>
            <w:tcBorders/>
            <w:shd w:fill="FFFFFF" w:val="clear"/>
            <w:vAlign w:val="center"/>
          </w:tcPr>
          <w:p>
            <w:pPr>
              <w:pStyle w:val="TableContents"/>
              <w:bidi w:val="0"/>
              <w:spacing w:before="0" w:after="283"/>
              <w:jc w:val="left"/>
              <w:rPr>
                <w:sz w:val="20"/>
              </w:rPr>
            </w:pPr>
            <w:r>
              <w:rPr>
                <w:sz w:val="20"/>
              </w:rPr>
              <w:t>Operating margin</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1.0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(1.5</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(13.0</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(14.0</w:t>
            </w:r>
          </w:p>
        </w:tc>
        <w:tc>
          <w:tcPr>
            <w:tcW w:w="320" w:type="dxa"/>
            <w:tcBorders/>
            <w:shd w:fill="FFFFFF" w:val="clear"/>
            <w:vAlign w:val="center"/>
          </w:tcPr>
          <w:p>
            <w:pPr>
              <w:pStyle w:val="TableContents"/>
              <w:bidi w:val="0"/>
              <w:spacing w:before="0" w:after="283"/>
              <w:jc w:val="left"/>
              <w:rPr>
                <w:sz w:val="20"/>
              </w:rPr>
            </w:pPr>
            <w:r>
              <w:rPr>
                <w:sz w:val="20"/>
              </w:rPr>
              <w:t>)pts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(11.5</w:t>
            </w:r>
          </w:p>
        </w:tc>
        <w:tc>
          <w:tcPr>
            <w:tcW w:w="275" w:type="dxa"/>
            <w:tcBorders/>
            <w:shd w:fill="FFFFFF" w:val="clear"/>
            <w:vAlign w:val="center"/>
          </w:tcPr>
          <w:p>
            <w:pPr>
              <w:pStyle w:val="TableContents"/>
              <w:bidi w:val="0"/>
              <w:spacing w:before="0" w:after="283"/>
              <w:ind w:left="0" w:right="0" w:hanging="180"/>
              <w:jc w:val="left"/>
              <w:rPr>
                <w:sz w:val="20"/>
              </w:rPr>
            </w:pPr>
            <w:r>
              <w:rPr>
                <w:sz w:val="20"/>
              </w:rPr>
              <w:t>)pts</w:t>
            </w:r>
          </w:p>
        </w:tc>
      </w:tr>
      <w:tr>
        <w:trPr/>
        <w:tc>
          <w:tcPr>
            <w:tcW w:w="4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4729" w:type="dxa"/>
            <w:tcBorders/>
            <w:shd w:fill="FFFFFF" w:val="clear"/>
            <w:vAlign w:val="center"/>
          </w:tcPr>
          <w:p>
            <w:pPr>
              <w:pStyle w:val="TableContents"/>
              <w:bidi w:val="0"/>
              <w:spacing w:before="0" w:after="283"/>
              <w:jc w:val="left"/>
              <w:rPr>
                <w:sz w:val="20"/>
              </w:rPr>
            </w:pPr>
            <w:r>
              <w:rPr>
                <w:sz w:val="20"/>
              </w:rPr>
              <w:t>Net income/(loss)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646.6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20.2</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(2,276.0</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N/A</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N/A</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4729" w:type="dxa"/>
            <w:tcBorders/>
            <w:shd w:fill="CCEEFF" w:val="clear"/>
            <w:vAlign w:val="center"/>
          </w:tcPr>
          <w:p>
            <w:pPr>
              <w:pStyle w:val="TableContents"/>
              <w:bidi w:val="0"/>
              <w:spacing w:before="0" w:after="283"/>
              <w:jc w:val="left"/>
              <w:rPr>
                <w:sz w:val="20"/>
              </w:rPr>
            </w:pPr>
            <w:r>
              <w:rPr>
                <w:sz w:val="20"/>
              </w:rPr>
              <w:t>Non-GAAP net income/(loss)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1,014.3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274.4</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(2,108.0</w:t>
            </w:r>
          </w:p>
        </w:tc>
        <w:tc>
          <w:tcPr>
            <w:tcW w:w="22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N/A</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N/A</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4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4729" w:type="dxa"/>
            <w:tcBorders/>
            <w:shd w:fill="CCEEFF" w:val="clear"/>
            <w:vAlign w:val="center"/>
          </w:tcPr>
          <w:p>
            <w:pPr>
              <w:pStyle w:val="TableContents"/>
              <w:bidi w:val="0"/>
              <w:spacing w:before="0" w:after="283"/>
              <w:jc w:val="left"/>
              <w:rPr>
                <w:sz w:val="20"/>
              </w:rPr>
            </w:pPr>
            <w:r>
              <w:rPr>
                <w:sz w:val="20"/>
              </w:rPr>
              <w:t>Diluted net earnings/(loss) per ADS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0.62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0.01</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(2.26</w:t>
            </w:r>
          </w:p>
        </w:tc>
        <w:tc>
          <w:tcPr>
            <w:tcW w:w="22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N/A</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N/A</w:t>
            </w:r>
          </w:p>
        </w:tc>
        <w:tc>
          <w:tcPr>
            <w:tcW w:w="2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729" w:type="dxa"/>
            <w:tcBorders/>
            <w:shd w:fill="FFFFFF" w:val="clear"/>
            <w:vAlign w:val="center"/>
          </w:tcPr>
          <w:p>
            <w:pPr>
              <w:pStyle w:val="TableContents"/>
              <w:bidi w:val="0"/>
              <w:spacing w:before="0" w:after="283"/>
              <w:jc w:val="left"/>
              <w:rPr>
                <w:sz w:val="20"/>
              </w:rPr>
            </w:pPr>
            <w:r>
              <w:rPr>
                <w:sz w:val="20"/>
              </w:rPr>
              <w:t>Non-GAAP diluted net earnings/(loss) per ADS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0.96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0.25</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(2.09</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N/A</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N/A</w:t>
            </w:r>
          </w:p>
        </w:tc>
        <w:tc>
          <w:tcPr>
            <w:tcW w:w="2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4729" w:type="dxa"/>
            <w:tcBorders/>
            <w:shd w:fill="FFFFFF" w:val="clear"/>
            <w:vAlign w:val="center"/>
          </w:tcPr>
          <w:p>
            <w:pPr>
              <w:pStyle w:val="TableContents"/>
              <w:bidi w:val="0"/>
              <w:spacing w:before="0" w:after="283"/>
              <w:jc w:val="left"/>
              <w:rPr>
                <w:sz w:val="20"/>
              </w:rPr>
            </w:pPr>
            <w:r>
              <w:rPr>
                <w:sz w:val="20"/>
              </w:rPr>
              <w:t>Net cash (used in)/provided by operating activities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(1,701.0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3,521.4</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sz w:val="20"/>
              </w:rPr>
            </w:pPr>
            <w:r>
              <w:rPr>
                <w:sz w:val="20"/>
              </w:rPr>
              <w:t>(6,091.0</w:t>
            </w:r>
          </w:p>
        </w:tc>
        <w:tc>
          <w:tcPr>
            <w:tcW w:w="22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258.1</w:t>
            </w:r>
          </w:p>
        </w:tc>
        <w:tc>
          <w:tcPr>
            <w:tcW w:w="32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N/A</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4729" w:type="dxa"/>
            <w:tcBorders/>
            <w:shd w:fill="CCEEFF" w:val="clear"/>
            <w:vAlign w:val="center"/>
          </w:tcPr>
          <w:p>
            <w:pPr>
              <w:pStyle w:val="TableContents"/>
              <w:bidi w:val="0"/>
              <w:spacing w:before="0" w:after="283"/>
              <w:jc w:val="left"/>
              <w:rPr>
                <w:sz w:val="20"/>
              </w:rPr>
            </w:pPr>
            <w:r>
              <w:rPr>
                <w:sz w:val="20"/>
              </w:rPr>
              <w:t>Free cash flow (non-GAAP)</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(2,530.6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2,467.6</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sz w:val="20"/>
              </w:rPr>
            </w:pPr>
            <w:r>
              <w:rPr>
                <w:sz w:val="20"/>
              </w:rPr>
              <w:t>(7,388.3</w:t>
            </w:r>
          </w:p>
        </w:tc>
        <w:tc>
          <w:tcPr>
            <w:tcW w:w="22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192.0</w:t>
            </w:r>
          </w:p>
        </w:tc>
        <w:tc>
          <w:tcPr>
            <w:tcW w:w="32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N/A</w:t>
            </w:r>
          </w:p>
        </w:tc>
        <w:tc>
          <w:tcPr>
            <w:tcW w:w="2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6</w:t>
      </w:r>
      <w:r>
        <w:rPr>
          <w:rFonts w:ascii="Times New Roman;Times;Serif" w:hAnsi="Times New Roman;Times;Serif"/>
          <w:b w:val="false"/>
          <w:i/>
          <w:caps w:val="false"/>
          <w:smallCaps w:val="false"/>
          <w:sz w:val="20"/>
        </w:rPr>
        <w:t xml:space="preserve"> Except for vehicle margin, gross margin, and operating margin, where absolute changes instead of percentage changes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April 2026, the Company delivered 34,085 vehicles. As of April 30, 2026, in China, the Company had 511 retail stores in 160 cities, 550 servicing centers and Li Auto-authorized servicing shops operating in 223 cities, and 4,077 super charging stations in operation equipped with 22,509 charging stalls.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All-New Li L9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May 2026, the Company launched and commenced deliveries of its all-new Li L9. This model is available in two trims: Ultra and Livis. The Li L9 Ultra comes standard with steer-by-wire, rear-wheel steering, and Li Auto’s third-generation dual-chamber, dual-valve Magic Carpet Air Suspension. Its autonomous driving system is powered by a proprietary MAHE M100 chip, and the smart cockpit is powered by a Qualcomm Snapdragon 8797 Max chip. The Li L9 Livis features a proprietary 800V active suspension system and a fully drive-by-wire chassis. Its autonomous driving system is equipped with dual proprietary MAHE M100 chips and four LiDAR sensors, and the smart cockpit is powered by a Qualcomm Snapdragon 8797 Elite chip. Both trims come standard with a 72.7 kWh 5C battery and feature Li Auto’s third-generation range extender, as well as the MindVLA large model and 3D ViT Encoder. The Li L9 Ultra and Li L9 Livis are priced at RMB459,800 and RMB509,800,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US$1.0 Billion Share Repurchase Program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Pursuant to its US$1.0 billion share repurchase program announced on March 24, 2026, the Company has repurchased a total of approximately 16.4 million Class A ordinary shares (including approximately 6.7 million ADSs) for an aggregate consideration of approximately US$139.7 million as of May 26,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Put Right Offer for Convertible Senior Notes due 2028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April 30, 2026, the Company announced completion of the put right offer relating to its 0.25% Convertible Senior Notes due 2028 (CUSIP No. 50202M AB8) (the “Notes”). US$716,800,000 aggregate principal amount of the Notes (the “Repurchase Price”) was validly surrendered and not withdrawn prior to the expiration of the put right offer. The Company has forwarded cash in payment of the Repurchase Price to the paying agent for distribution to the holders who had validly exercised their put right. Following settlement of the repurchase, US$145,700,000 aggregate principal amount of the Notes remains outstanding and continues to be subject to the existing terms of the indenture and the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April 10, 2026, the Company published its 2025 Environmental, Social and Governance (ESG) Report and its first Climate-Related Disclosures Report (https://ir.lixiang.com/esg), showcasing its strategic initiatives, measurable achievements, and ongoing dedication to sustainable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CEO and CFO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Xiang Li, chairman and chief executive officer of Li Auto, commented, “Our organizational and supply chain optimizations delivered concrete results in the first quarter, enabling us to reclaim the top spot among domestic automotive brands in China’s RMB200,000 and above NEV market. Meanwhile, the all-new Li L9, launched in mid-May, demonstrates the strength of our flagship products with its all-around technological leadership and product excellence, reinforcing our confidence in establishing a benchmark position in the flagship SUV market. The successful integrated deployment of our in-house MAHE M100 chip and MindVLA large model into the vehicle represents an industry-leading technological breakthrough, laying the foundation for efficient technology iterations in the future. We look forward to launching the all-new Li L8 at the end of June to meet broader market demand. As we advance our AI initiatives and strengthen our core competencies, we remain committed to transforming everyday life for more users through cutting-edge products and premium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Tie Li, chief financial officer of Li Auto, added, “Our first-quarter gross margin reflected our user-centric measures related to Li i6 deliveries, as well as raw material price fluctuations and our model refresh cycle. As delivery rebounds drive economies of scale and our updated product portfolio gains traction, we expect a gradual improvement in profitability. While executing the US$1 billion share repurchase program with confidence in our long-term growth prospects, we continue to benefit from a solid cash position that provides ongoing flexibility for strategic investments. With substantial runway ahead, we remain confident in our ability to create lasting value for all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Results for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Total revenues</w:t>
            </w:r>
            <w:r>
              <w:rPr/>
              <w:t xml:space="preserve"> were RMB23.0 billion (US$3.3 billion) in the first quarter of 2026, representing a decrease of 11.4% from RMB25.9 billion in the first quarter of 2025 and a decrease of 20.1% from RMB28.8 billion in the fourth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Vehicle sales</w:t>
            </w:r>
            <w:r>
              <w:rPr/>
              <w:t xml:space="preserve"> were RMB21.5 billion (US$3.1 billion) in the first quarter of 2026, representing a decrease of 12.7% from RMB24.7 billion in the first quarter of 2025 and a decrease of 21.0% from RMB27.3 billion in the fourth quarter of 2025. The decrease in revenue from vehicle sales over the first quarter of 2025 was primarily attributable to the lower average selling price due to different product mix. The decrease in revenue from vehicle sales over the fourth quarter of 2025 was primarily attributable to the decrease in vehicle deliveries due to seasonal factors related to the Chinese New Year holiday and a lower average selling price due to different product mix.</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Other sales and services</w:t>
            </w:r>
            <w:r>
              <w:rPr/>
              <w:t xml:space="preserve"> were RMB1.4 billion (US$210.2 million) in the first quarter of 2026, representing an increase of 16.1% from RMB1.2 billion in the first quarter of 2025 and a decrease of 4.8% from RMB1.5 billion in the fourth quarter of 2025. The increase in revenue from other sales and services over the first quarter of 2025 was mainly due to increased provision of services and sales of accessories, which was in line with higher accumulated vehicle sales. The revenue from other sales and services remained relatively stable over the fourth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 and Gross Margin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Cost of sales </w:t>
            </w:r>
            <w:r>
              <w:rPr/>
              <w:t>was RMB21.2 billion (US$3.1 billion) in the first quarter of 2026, representing an increase of 2.7% from RMB20.6 billion in the first quarter of 2025 and a decrease of 10.4% from RMB23.6 billion in the fourth quarter of 2025. The cost of sales remained relatively stable over the first quarter of 2025. The decrease in cost of sales over the fourth quarter of 2025 was primarily attributable to the decrease in vehicle deliveries.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Gross profit </w:t>
            </w:r>
            <w:r>
              <w:rPr/>
              <w:t>was RMB1.8 billion (US$262.1 million) in the first quarter of 2026, representing a decrease of 66.0% from RMB5.3 billion in the first quarter of 2025 and a decrease of 64.8% from RMB5.1 billion in the fourth quarter of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Vehicle margin</w:t>
            </w:r>
            <w:r>
              <w:rPr/>
              <w:t xml:space="preserve"> was 6.1% in the first quarter of 2026, compared with 19.8% in the first quarter of 2025 and 16.8% in the fourth quarter of 2025. The decrease in vehicle margin over the first quarter of 2025 and the fourth quarter of 2025 was mainly attributable to different product mix.</w:t>
            </w:r>
          </w:p>
        </w:tc>
      </w:tr>
    </w:tbl>
    <w:p>
      <w:pPr>
        <w:pStyle w:val="TextBody"/>
        <w:bidi w:val="0"/>
        <w:spacing w:before="0" w:after="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Gross margin </w:t>
            </w:r>
            <w:r>
              <w:rPr/>
              <w:t>was 7.9% in the first quarter of 2026, compared with 20.5% in the first quarter of 2025 and 17.8% in the fourth quarter of 2025. The decrease in gross margin over the first quarter of 2025 and the fourth quarter of 2025 was mainly due to the decrease in vehicle margin.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Operating expenses</w:t>
            </w:r>
            <w:r>
              <w:rPr/>
              <w:t xml:space="preserve"> were RMB4.8 billion (US$696.8 million) in the first quarter of 2026, representing a decrease of 4.8% from RMB5.0 billion in the first quarter of 2025 and a decrease of 13.8% from RMB5.6 billion in the fourth quarter of 2025.</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Research and development expenses </w:t>
            </w:r>
            <w:r>
              <w:rPr/>
              <w:t>were RMB2.7 billion (US$394.6 million) in the first quarter of 2026, representing an increase of 8.3% from RMB2.5 billion in the first quarter of 2025 and a decrease of 9.8% from RMB3.0 billion in the fourth quarter of 2025. Research and development expenses remained relatively stable over the first quarter of 2025 and the fourth quarter of 2025.</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Selling, general and administrative expenses </w:t>
            </w:r>
            <w:r>
              <w:rPr/>
              <w:t>were RMB2.0 billion (US$297.1 million) in the first quarter of 2026, representing a decrease of 19.0% from RMB2.5 billion in the first quarter of 2025 and a decrease of 22.6% from RMB2.6 billion in the fourth quarter of 2025. The decrease in selling, general and administrative expenses over the first quarter of 2025 and the fourth quarter of 2025 was primarily due to decreased employee compensation and reduced expenses related to marketing and promotional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from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Loss from operations</w:t>
            </w:r>
            <w:r>
              <w:rPr/>
              <w:t xml:space="preserve"> was RMB3.0 billion (US$434.7 million) in the first quarter of 2026, compared with RMB271.7 million income from operations in the first quarter of 2025 and RMB442.6 million loss from operations in the fourth quarter of 2025. </w:t>
            </w:r>
            <w:r>
              <w:rPr>
                <w:b/>
              </w:rPr>
              <w:t>Operating margin</w:t>
            </w:r>
            <w:r>
              <w:rPr/>
              <w:t xml:space="preserve"> was negative 13.0% in the first quarter of 2026, compared with 1.0% in the first quarter of 2025 and negative 1.5% in the fourth quarter of 2025. </w:t>
            </w:r>
            <w:r>
              <w:rPr>
                <w:b/>
              </w:rPr>
              <w:t>Non-GAAP loss from operations</w:t>
            </w:r>
            <w:r>
              <w:rPr/>
              <w:t xml:space="preserve"> was RMB2.8 billion (US$410.4 million) in the first quarter of 2026, compared with RMB639.3 million non-GAAP income from operations in the first quarter of 2025 and RMB188.4 million non-GAAP loss from operations in the fourth quarter of 2025.</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and Net Earnings/(Loss) Per Share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Net loss</w:t>
            </w:r>
            <w:r>
              <w:rPr/>
              <w:t xml:space="preserve"> was RMB2.3 billion (US$330.0 million) in the first quarter of 2026, compared with net income of RMB646.6 million in the first quarter of 2025 and RMB20.2 million in the fourth quarter of 2025. </w:t>
            </w:r>
            <w:r>
              <w:rPr>
                <w:b/>
              </w:rPr>
              <w:t>Non-GAAP net loss</w:t>
            </w:r>
            <w:r>
              <w:rPr/>
              <w:t xml:space="preserve"> was RMB2.1 billion (US$305.6 million) in the first quarter of 2026, compared with non-GAAP net income of RMB1.0 billion in the first quarter of 2025 and RMB274.4 million in the fourth quarter of 2025.</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Basic and diluted net loss per ADS attributable to ordinary shareholders </w:t>
            </w:r>
            <w:r>
              <w:rPr/>
              <w:t xml:space="preserve">were both RMB2.26 (US$0.33) in the first quarter of 2026, compared with RMB0.65 and RMB0.62 basic and diluted net earnings per ADS attributable to ordinary shareholders in the first quarter of 2025, respectively, and RMB0.01 and RMB0.01 basic and diluted net earnings per ADS attributable to ordinary shareholders in the fourth quarter of 2025, respectively. </w:t>
            </w:r>
            <w:r>
              <w:rPr>
                <w:b/>
              </w:rPr>
              <w:t>Non-GAAP basic and diluted net loss per ADS attributable to ordinary shareholders</w:t>
            </w:r>
            <w:r>
              <w:rPr/>
              <w:t xml:space="preserve"> were both RMB2.09 (US$0.30) in the first quarter of 2026, compared with RMB1.01 and RMB0.96 non-GAAP basic and diluted net earnings per ADS attributable to ordinary shareholders in the first quarter of 2025, respectively, and RMB0.26 and RMB0.25 non-GAAP basic and diluted net earnings per ADS attributable to ordinary shareholders in the fourth quarter of 2025, respectively.</w:t>
            </w:r>
          </w:p>
        </w:tc>
      </w:tr>
    </w:tbl>
    <w:p>
      <w:pPr>
        <w:pStyle w:val="TextBody"/>
        <w:bidi w:val="0"/>
        <w:spacing w:before="0" w:after="0"/>
        <w:ind w:left="426"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 Operating Cash Flow and Free Cash Flow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both"/>
              <w:rPr/>
            </w:pPr>
            <w:r>
              <w:rPr>
                <w:b/>
              </w:rPr>
              <w:t>Cash position</w:t>
            </w:r>
            <w:r>
              <w:rPr>
                <w:b/>
                <w:position w:val="8"/>
                <w:sz w:val="19"/>
              </w:rPr>
              <w:t xml:space="preserve">7 </w:t>
            </w:r>
            <w:r>
              <w:rPr/>
              <w:t>was RMB94.3 billion (US$13.7 billion) as of March 31,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Net cash used in operating activities </w:t>
            </w:r>
            <w:r>
              <w:rPr/>
              <w:t>was RMB6.1 billion (US$883.0 million) in the first quarter of 2026, compared with RMB1.7 billion net cash used in operating activities in the first quarter of 2025 and RMB3.5 billion net cash provided by operating activities in the fourth quarter of 2025. The change in net cash used in operating activities over the first quarter of 2025 was mainly due to the decrease in cash received from customers resulting from the lower average selling price. The change in net cash used in operating activities over the fourth quarter of 2025 was mainly due to the decrease in cash received from customers caused by a seasonal sequential decline in vehicle deliveries.</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Free cash flow </w:t>
            </w:r>
            <w:r>
              <w:rPr/>
              <w:t>was negative RMB7.4 billion (US$1.1 billion) in the first quarter of 2026, compared with negative RMB2.5 billion in the first quarter of 2025 and RMB2.5 billion in the fourth quarter of 2025.</w:t>
            </w:r>
          </w:p>
        </w:tc>
      </w:tr>
    </w:tbl>
    <w:p>
      <w:pPr>
        <w:pStyle w:val="TextBody"/>
        <w:bidi w:val="0"/>
        <w:spacing w:before="0" w:after="0"/>
        <w:ind w:left="0" w:right="0" w:firstLine="400"/>
        <w:jc w:val="left"/>
        <w:rPr>
          <w:caps w:val="false"/>
          <w:smallCaps w:val="false"/>
          <w:position w:val="8"/>
          <w:sz w:val="19"/>
        </w:rPr>
      </w:pPr>
      <w:r>
        <w:rPr>
          <w:caps w:val="false"/>
          <w:smallCaps w:val="false"/>
          <w:position w:val="8"/>
          <w:sz w:val="19"/>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7</w:t>
      </w:r>
      <w:r>
        <w:rPr>
          <w:rFonts w:ascii="Times New Roman;Times;Serif" w:hAnsi="Times New Roman;Times;Serif"/>
          <w:b w:val="false"/>
          <w:i/>
          <w:caps w:val="false"/>
          <w:smallCaps w:val="false"/>
          <w:sz w:val="20"/>
        </w:rPr>
        <w:t xml:space="preserve"> Cash position includes cash and cash equivalents, restricted cash, time deposits and short-term investments, and long-term time deposits and financial instruments included in 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2026, the Company expects: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Deliveries of vehicles </w:t>
            </w:r>
            <w:r>
              <w:rPr/>
              <w:t>to be between 95,000 and 100,000 vehicles, representing a year-over-year decrease of 14.5% to 10.0%.</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Total revenues </w:t>
            </w:r>
            <w:r>
              <w:rPr/>
              <w:t>to be between RMB24.1 billion (US$3.5 billion) and RMB25.4 billion (US$3.7 billion), representing a year</w:t>
            </w:r>
            <w:r>
              <w:rPr>
                <w:b/>
              </w:rPr>
              <w:t>-</w:t>
            </w:r>
            <w:r>
              <w:rPr/>
              <w:t>over-year decrease of 20.2% to 16.0%.</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outlook reflects the Company’s current and preliminary views on its business situation and market conditions, which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hold a conference call at 8:00 a.m. U.S. Eastern Time on Thursday, May 28, 2026 (8:00 p.m. Beijing/Hong Kong Time on May 28, 2026) to discuss financial results and answer questions from investors and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please complete online registration using the link provided below prior to the scheduled call start time. Upon registration, participants will receive the conference call access information, including dial-in numbers, passcode, and a unique access PIN. To join the conference, please dial the number provided, enter the passcode followed by your PIN, and you will join the conference instantly.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 https://s1.c-conf.com/diamondpass/10054648-why786.html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accessible through June 4, 2026,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925"/>
        <w:gridCol w:w="1835"/>
      </w:tblGrid>
      <w:tr>
        <w:trPr/>
        <w:tc>
          <w:tcPr>
            <w:tcW w:w="1925" w:type="dxa"/>
            <w:tcBorders/>
            <w:vAlign w:val="center"/>
          </w:tcPr>
          <w:p>
            <w:pPr>
              <w:pStyle w:val="TableContents"/>
              <w:bidi w:val="0"/>
              <w:spacing w:before="0" w:after="283"/>
              <w:jc w:val="both"/>
              <w:rPr/>
            </w:pPr>
            <w:r>
              <w:rPr/>
              <w:t>United States:</w:t>
            </w:r>
          </w:p>
        </w:tc>
        <w:tc>
          <w:tcPr>
            <w:tcW w:w="1835" w:type="dxa"/>
            <w:tcBorders/>
            <w:vAlign w:val="center"/>
          </w:tcPr>
          <w:p>
            <w:pPr>
              <w:pStyle w:val="TableContents"/>
              <w:bidi w:val="0"/>
              <w:spacing w:before="0" w:after="283"/>
              <w:jc w:val="both"/>
              <w:rPr/>
            </w:pPr>
            <w:r>
              <w:rPr/>
              <w:t>+1-855-883-1031</w:t>
            </w:r>
          </w:p>
        </w:tc>
      </w:tr>
      <w:tr>
        <w:trPr/>
        <w:tc>
          <w:tcPr>
            <w:tcW w:w="1925" w:type="dxa"/>
            <w:tcBorders/>
            <w:vAlign w:val="center"/>
          </w:tcPr>
          <w:p>
            <w:pPr>
              <w:pStyle w:val="TableContents"/>
              <w:bidi w:val="0"/>
              <w:spacing w:before="0" w:after="283"/>
              <w:jc w:val="both"/>
              <w:rPr/>
            </w:pPr>
            <w:r>
              <w:rPr/>
              <w:t>Chinese Mainland:</w:t>
            </w:r>
          </w:p>
        </w:tc>
        <w:tc>
          <w:tcPr>
            <w:tcW w:w="1835" w:type="dxa"/>
            <w:tcBorders/>
            <w:vAlign w:val="center"/>
          </w:tcPr>
          <w:p>
            <w:pPr>
              <w:pStyle w:val="TableContents"/>
              <w:bidi w:val="0"/>
              <w:spacing w:before="0" w:after="283"/>
              <w:jc w:val="both"/>
              <w:rPr/>
            </w:pPr>
            <w:r>
              <w:rPr/>
              <w:t>+86-400-1209-216</w:t>
            </w:r>
          </w:p>
        </w:tc>
      </w:tr>
      <w:tr>
        <w:trPr/>
        <w:tc>
          <w:tcPr>
            <w:tcW w:w="1925" w:type="dxa"/>
            <w:tcBorders/>
            <w:vAlign w:val="center"/>
          </w:tcPr>
          <w:p>
            <w:pPr>
              <w:pStyle w:val="TableContents"/>
              <w:bidi w:val="0"/>
              <w:spacing w:before="0" w:after="283"/>
              <w:jc w:val="both"/>
              <w:rPr/>
            </w:pPr>
            <w:r>
              <w:rPr/>
              <w:t>Hong Kong, China:</w:t>
            </w:r>
          </w:p>
        </w:tc>
        <w:tc>
          <w:tcPr>
            <w:tcW w:w="1835" w:type="dxa"/>
            <w:tcBorders/>
            <w:vAlign w:val="center"/>
          </w:tcPr>
          <w:p>
            <w:pPr>
              <w:pStyle w:val="TableContents"/>
              <w:bidi w:val="0"/>
              <w:spacing w:before="0" w:after="283"/>
              <w:jc w:val="both"/>
              <w:rPr/>
            </w:pPr>
            <w:r>
              <w:rPr/>
              <w:t>+852-800-930-639</w:t>
            </w:r>
          </w:p>
        </w:tc>
      </w:tr>
      <w:tr>
        <w:trPr/>
        <w:tc>
          <w:tcPr>
            <w:tcW w:w="1925" w:type="dxa"/>
            <w:tcBorders/>
            <w:vAlign w:val="center"/>
          </w:tcPr>
          <w:p>
            <w:pPr>
              <w:pStyle w:val="TableContents"/>
              <w:bidi w:val="0"/>
              <w:spacing w:before="0" w:after="283"/>
              <w:jc w:val="both"/>
              <w:rPr/>
            </w:pPr>
            <w:r>
              <w:rPr/>
              <w:t>International:</w:t>
            </w:r>
          </w:p>
        </w:tc>
        <w:tc>
          <w:tcPr>
            <w:tcW w:w="1835" w:type="dxa"/>
            <w:tcBorders/>
            <w:vAlign w:val="center"/>
          </w:tcPr>
          <w:p>
            <w:pPr>
              <w:pStyle w:val="TableContents"/>
              <w:bidi w:val="0"/>
              <w:spacing w:before="0" w:after="283"/>
              <w:jc w:val="both"/>
              <w:rPr/>
            </w:pPr>
            <w:r>
              <w:rPr/>
              <w:t>+61-7-3107-6325</w:t>
            </w:r>
          </w:p>
        </w:tc>
      </w:tr>
      <w:tr>
        <w:trPr/>
        <w:tc>
          <w:tcPr>
            <w:tcW w:w="1925" w:type="dxa"/>
            <w:tcBorders/>
            <w:vAlign w:val="center"/>
          </w:tcPr>
          <w:p>
            <w:pPr>
              <w:pStyle w:val="TableContents"/>
              <w:bidi w:val="0"/>
              <w:spacing w:before="0" w:after="283"/>
              <w:jc w:val="both"/>
              <w:rPr/>
            </w:pPr>
            <w:r>
              <w:rPr/>
              <w:t>Replay PIN:</w:t>
            </w:r>
          </w:p>
        </w:tc>
        <w:tc>
          <w:tcPr>
            <w:tcW w:w="1835" w:type="dxa"/>
            <w:tcBorders/>
            <w:vAlign w:val="center"/>
          </w:tcPr>
          <w:p>
            <w:pPr>
              <w:pStyle w:val="TableContents"/>
              <w:bidi w:val="0"/>
              <w:spacing w:before="0" w:after="283"/>
              <w:jc w:val="both"/>
              <w:rPr/>
            </w:pPr>
            <w:r>
              <w:rPr/>
              <w:t>10054648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be available on the Company’s investor relations website at https://ir.lixiang.com.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financial measures, such as non-GAAP cost of sales, non-GAAP research and development expenses, non-GAAP selling, general and administrative expenses, non-GAAP income/(loss) from operations, non-GAAP net income/(loss), non-GAAP net income/(loss) attributable to ordinary shareholders, non-GAAP basic and diluted net earnings/(loss) per ADS attributable to ordinary shareholders, non-GAAP basic and diluted net earnings/(loss) per share attributable to ordinary shareholders and free cash flow, in evaluating its operating results and for financial and operational decision-making purposes. By excluding the impact of share-based compensation expenses and release of valuation allowance on deferred tax assets,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financial information prepared in accordance with U.S. GAAP. The Company encourages investors and others to review its financial information in its entirety and not rely on a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mitigates these limitations by reconciling the non-GAAP financial measures to the most comparable U.S. GAAP performance measures, all of which should be considered when evaluating the Company’s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non-GAAP financial measures, please see the table captioned “Unaudited Reconciliation of U.S. GAAP and Non-GAAP Results” set forth at the end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translations of certain Renminbi amounts into U.S. dollars at a specified rate solely for the convenience of the reader. Unless otherwise noted, all translations from Renminbi to U.S. dollars and from U.S. dollars to Renminbi are made at a rate of RMB6.8980 to US$1.00, the exchange rate on March 31, 2026, set forth in the H.10 statistical release of the Federal Reserve Board. The Company makes no representation that the Renminbi or U.S. dollars amounts referred could be converted into U.S. dollars or Renminbi,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Li Auto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Its current model lineup includes a high-tech flagship family MPV, four Li L series extended-range electric SUVs, and two Li i series battery electric SUVs. The Company will continue to expand its product lineup to target a broader user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https://ir.lixiang.com.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ir@lixiang.com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Hu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Li@christensencomms.com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ADS/ordinary share and per ADS/ordinary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9"/>
        <w:gridCol w:w="60"/>
        <w:gridCol w:w="62"/>
        <w:gridCol w:w="1247"/>
        <w:gridCol w:w="80"/>
        <w:gridCol w:w="60"/>
        <w:gridCol w:w="68"/>
        <w:gridCol w:w="1383"/>
        <w:gridCol w:w="80"/>
        <w:gridCol w:w="60"/>
        <w:gridCol w:w="62"/>
        <w:gridCol w:w="1247"/>
        <w:gridCol w:w="80"/>
        <w:gridCol w:w="60"/>
        <w:gridCol w:w="62"/>
        <w:gridCol w:w="1247"/>
        <w:gridCol w:w="178"/>
      </w:tblGrid>
      <w:tr>
        <w:trPr/>
        <w:tc>
          <w:tcPr>
            <w:tcW w:w="4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98"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r>
          </w:p>
        </w:tc>
        <w:tc>
          <w:tcPr>
            <w:tcW w:w="178" w:type="dxa"/>
            <w:tcBorders/>
            <w:vAlign w:val="center"/>
          </w:tcPr>
          <w:p>
            <w:pPr>
              <w:pStyle w:val="TableContents"/>
              <w:bidi w:val="0"/>
              <w:spacing w:before="0" w:after="283"/>
              <w:jc w:val="left"/>
              <w:rPr/>
            </w:pPr>
            <w:r>
              <w:rPr/>
              <w:t> </w:t>
            </w:r>
          </w:p>
        </w:tc>
      </w:tr>
      <w:tr>
        <w:trPr/>
        <w:tc>
          <w:tcPr>
            <w:tcW w:w="4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 2026</w:t>
            </w:r>
          </w:p>
        </w:tc>
        <w:tc>
          <w:tcPr>
            <w:tcW w:w="178" w:type="dxa"/>
            <w:tcBorders/>
            <w:vAlign w:val="center"/>
          </w:tcPr>
          <w:p>
            <w:pPr>
              <w:pStyle w:val="TableContents"/>
              <w:bidi w:val="0"/>
              <w:spacing w:before="0" w:after="283"/>
              <w:jc w:val="left"/>
              <w:rPr/>
            </w:pPr>
            <w:r>
              <w:rPr/>
              <w:t> </w:t>
            </w:r>
          </w:p>
        </w:tc>
      </w:tr>
      <w:tr>
        <w:trPr/>
        <w:tc>
          <w:tcPr>
            <w:tcW w:w="4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b/>
                <w:sz w:val="20"/>
              </w:rPr>
            </w:pPr>
            <w:r>
              <w:rPr>
                <w:b/>
                <w:sz w:val="20"/>
              </w:rPr>
              <w:t>US$</w:t>
            </w:r>
          </w:p>
        </w:tc>
        <w:tc>
          <w:tcPr>
            <w:tcW w:w="178" w:type="dxa"/>
            <w:tcBorders/>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both"/>
              <w:rPr>
                <w:sz w:val="20"/>
              </w:rPr>
            </w:pPr>
            <w:r>
              <w:rPr>
                <w:sz w:val="20"/>
              </w:rPr>
              <w:t>Vehicle sales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24,678,585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27,252,291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21,533,182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3,121,656</w:t>
            </w:r>
          </w:p>
        </w:tc>
        <w:tc>
          <w:tcPr>
            <w:tcW w:w="178" w:type="dxa"/>
            <w:tcBorders/>
            <w:shd w:fill="FFFFFF" w:val="clear"/>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both"/>
              <w:rPr>
                <w:sz w:val="20"/>
              </w:rPr>
            </w:pPr>
            <w:r>
              <w:rPr>
                <w:sz w:val="20"/>
              </w:rPr>
              <w:t>Other sales and services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1,248,229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1,523,131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1,449,729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210,167</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Total revenues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25,926,814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28,775,422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22,982,911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3,331,823</w:t>
            </w:r>
          </w:p>
        </w:tc>
        <w:tc>
          <w:tcPr>
            <w:tcW w:w="178" w:type="dxa"/>
            <w:tcBorders/>
            <w:shd w:fill="FFFFFF" w:val="clear"/>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left"/>
              <w:rPr>
                <w:b/>
                <w:sz w:val="20"/>
              </w:rPr>
            </w:pPr>
            <w:r>
              <w:rPr>
                <w:b/>
                <w:sz w:val="20"/>
              </w:rPr>
              <w:t>Cost of sales: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sz w:val="20"/>
              </w:rPr>
            </w:pPr>
            <w:r>
              <w:rPr>
                <w:sz w:val="20"/>
              </w:rPr>
              <w:t>Vehicle sales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(19,801,927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(22,669,292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(20,225,885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(2,932,138</w:t>
            </w:r>
          </w:p>
        </w:tc>
        <w:tc>
          <w:tcPr>
            <w:tcW w:w="178"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4169" w:type="dxa"/>
            <w:tcBorders/>
            <w:shd w:fill="CCEEFF" w:val="clear"/>
            <w:vAlign w:val="center"/>
          </w:tcPr>
          <w:p>
            <w:pPr>
              <w:pStyle w:val="TableContents"/>
              <w:bidi w:val="0"/>
              <w:spacing w:before="0" w:after="283"/>
              <w:jc w:val="left"/>
              <w:rPr>
                <w:sz w:val="20"/>
              </w:rPr>
            </w:pPr>
            <w:r>
              <w:rPr>
                <w:sz w:val="20"/>
              </w:rPr>
              <w:t>Other sales and services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(806,428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(975,501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(948,981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(137,573</w:t>
            </w:r>
          </w:p>
        </w:tc>
        <w:tc>
          <w:tcPr>
            <w:tcW w:w="178"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4169" w:type="dxa"/>
            <w:tcBorders/>
            <w:shd w:fill="FFFFFF" w:val="clear"/>
            <w:vAlign w:val="center"/>
          </w:tcPr>
          <w:p>
            <w:pPr>
              <w:pStyle w:val="TableContents"/>
              <w:bidi w:val="0"/>
              <w:spacing w:before="0" w:after="283"/>
              <w:jc w:val="left"/>
              <w:rPr>
                <w:b/>
                <w:sz w:val="20"/>
              </w:rPr>
            </w:pPr>
            <w:r>
              <w:rPr>
                <w:b/>
                <w:sz w:val="20"/>
              </w:rPr>
              <w:t>Total cost of sales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(20,608,355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(23,644,793</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(21,174,866</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(3,069,711</w:t>
            </w:r>
          </w:p>
        </w:tc>
        <w:tc>
          <w:tcPr>
            <w:tcW w:w="178" w:type="dxa"/>
            <w:tcBorders/>
            <w:shd w:fill="FFFF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CCEEFF" w:val="clear"/>
            <w:vAlign w:val="center"/>
          </w:tcPr>
          <w:p>
            <w:pPr>
              <w:pStyle w:val="TableContents"/>
              <w:bidi w:val="0"/>
              <w:spacing w:before="0" w:after="283"/>
              <w:jc w:val="left"/>
              <w:rPr>
                <w:b/>
                <w:sz w:val="20"/>
              </w:rPr>
            </w:pPr>
            <w:r>
              <w:rPr>
                <w:b/>
                <w:sz w:val="20"/>
              </w:rPr>
              <w:t>Gross profit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5,318,459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5,130,629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1,808,045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262,112</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ind w:left="0" w:right="0" w:firstLine="80"/>
              <w:jc w:val="left"/>
              <w:rPr/>
            </w:pPr>
            <w:r>
              <w:rPr/>
              <w:t> </w:t>
            </w:r>
          </w:p>
        </w:tc>
      </w:tr>
      <w:tr>
        <w:trPr/>
        <w:tc>
          <w:tcPr>
            <w:tcW w:w="4169"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(2,513,854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sz w:val="20"/>
              </w:rPr>
            </w:pPr>
            <w:r>
              <w:rPr>
                <w:sz w:val="20"/>
              </w:rPr>
              <w:t>(3,016,587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(2,722,159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(394,630</w:t>
            </w:r>
          </w:p>
        </w:tc>
        <w:tc>
          <w:tcPr>
            <w:tcW w:w="178" w:type="dxa"/>
            <w:tcBorders/>
            <w:shd w:fill="CCEEFF" w:val="clear"/>
            <w:vAlign w:val="center"/>
          </w:tcPr>
          <w:p>
            <w:pPr>
              <w:pStyle w:val="TableContents"/>
              <w:bidi w:val="0"/>
              <w:spacing w:before="0" w:after="283"/>
              <w:ind w:left="0" w:right="0" w:firstLine="80"/>
              <w:jc w:val="left"/>
              <w:rPr>
                <w:sz w:val="20"/>
              </w:rPr>
            </w:pPr>
            <w:r>
              <w:rPr>
                <w:sz w:val="20"/>
              </w:rPr>
              <w:t>)</w:t>
            </w:r>
          </w:p>
        </w:tc>
      </w:tr>
      <w:tr>
        <w:trPr/>
        <w:tc>
          <w:tcPr>
            <w:tcW w:w="4169" w:type="dxa"/>
            <w:tcBorders/>
            <w:shd w:fill="FFFFFF" w:val="clear"/>
            <w:vAlign w:val="center"/>
          </w:tcPr>
          <w:p>
            <w:pPr>
              <w:pStyle w:val="TableContents"/>
              <w:bidi w:val="0"/>
              <w:spacing w:before="0" w:after="283"/>
              <w:jc w:val="left"/>
              <w:rPr>
                <w:sz w:val="20"/>
              </w:rPr>
            </w:pPr>
            <w:r>
              <w:rPr>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(2,531,009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(2,647,068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(2,049,203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(297,072</w:t>
            </w:r>
          </w:p>
        </w:tc>
        <w:tc>
          <w:tcPr>
            <w:tcW w:w="178" w:type="dxa"/>
            <w:tcBorders/>
            <w:shd w:fill="FFFFFF" w:val="clear"/>
            <w:vAlign w:val="center"/>
          </w:tcPr>
          <w:p>
            <w:pPr>
              <w:pStyle w:val="TableContents"/>
              <w:bidi w:val="0"/>
              <w:spacing w:before="0" w:after="283"/>
              <w:ind w:left="0" w:right="0" w:firstLine="80"/>
              <w:jc w:val="left"/>
              <w:rPr>
                <w:sz w:val="20"/>
              </w:rPr>
            </w:pPr>
            <w:r>
              <w:rPr>
                <w:sz w:val="20"/>
              </w:rPr>
              <w:t>)</w:t>
            </w:r>
          </w:p>
        </w:tc>
      </w:tr>
      <w:tr>
        <w:trPr/>
        <w:tc>
          <w:tcPr>
            <w:tcW w:w="4169" w:type="dxa"/>
            <w:tcBorders/>
            <w:shd w:fill="CCEEFF" w:val="clear"/>
            <w:vAlign w:val="center"/>
          </w:tcPr>
          <w:p>
            <w:pPr>
              <w:pStyle w:val="TableContents"/>
              <w:bidi w:val="0"/>
              <w:spacing w:before="0" w:after="283"/>
              <w:jc w:val="left"/>
              <w:rPr>
                <w:sz w:val="20"/>
              </w:rPr>
            </w:pPr>
            <w:r>
              <w:rPr>
                <w:sz w:val="20"/>
              </w:rPr>
              <w:t>Other operating (expense)/income, net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(1,942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(35,473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(5,143</w:t>
            </w:r>
          </w:p>
        </w:tc>
        <w:tc>
          <w:tcPr>
            <w:tcW w:w="178"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4169" w:type="dxa"/>
            <w:tcBorders/>
            <w:shd w:fill="FFFFFF" w:val="clear"/>
            <w:vAlign w:val="center"/>
          </w:tcPr>
          <w:p>
            <w:pPr>
              <w:pStyle w:val="TableContents"/>
              <w:bidi w:val="0"/>
              <w:spacing w:before="0" w:after="283"/>
              <w:jc w:val="left"/>
              <w:rPr>
                <w:b/>
                <w:sz w:val="20"/>
              </w:rPr>
            </w:pPr>
            <w:r>
              <w:rPr>
                <w:b/>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(5,046,805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(5,573,217</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(4,806,835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(696,845</w:t>
            </w:r>
          </w:p>
        </w:tc>
        <w:tc>
          <w:tcPr>
            <w:tcW w:w="178" w:type="dxa"/>
            <w:tcBorders/>
            <w:shd w:fill="FFFF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CCEEFF" w:val="clear"/>
            <w:vAlign w:val="center"/>
          </w:tcPr>
          <w:p>
            <w:pPr>
              <w:pStyle w:val="TableContents"/>
              <w:bidi w:val="0"/>
              <w:spacing w:before="0" w:after="283"/>
              <w:jc w:val="left"/>
              <w:rPr>
                <w:b/>
                <w:sz w:val="20"/>
              </w:rPr>
            </w:pPr>
            <w:r>
              <w:rPr>
                <w:b/>
                <w:sz w:val="20"/>
              </w:rPr>
              <w:t>Income/(Loss) from operations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b/>
                <w:sz w:val="20"/>
              </w:rPr>
            </w:pPr>
            <w:r>
              <w:rPr>
                <w:b/>
                <w:sz w:val="20"/>
              </w:rPr>
              <w:t>271,654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b/>
                <w:sz w:val="20"/>
              </w:rPr>
            </w:pPr>
            <w:r>
              <w:rPr>
                <w:b/>
                <w:sz w:val="20"/>
              </w:rPr>
              <w:t>(442,588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b/>
                <w:sz w:val="20"/>
              </w:rPr>
            </w:pPr>
            <w:r>
              <w:rPr>
                <w:b/>
                <w:sz w:val="20"/>
              </w:rPr>
              <w:t>(2,998,790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b/>
                <w:sz w:val="20"/>
              </w:rPr>
            </w:pPr>
            <w:r>
              <w:rPr>
                <w:b/>
                <w:sz w:val="20"/>
              </w:rPr>
              <w:t>(434,733</w:t>
            </w:r>
          </w:p>
        </w:tc>
        <w:tc>
          <w:tcPr>
            <w:tcW w:w="178" w:type="dxa"/>
            <w:tcBorders/>
            <w:shd w:fill="CCEE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FFFFFF" w:val="clear"/>
            <w:vAlign w:val="center"/>
          </w:tcPr>
          <w:p>
            <w:pPr>
              <w:pStyle w:val="TableContents"/>
              <w:bidi w:val="0"/>
              <w:spacing w:before="0" w:after="283"/>
              <w:jc w:val="left"/>
              <w:rPr>
                <w:b/>
                <w:sz w:val="20"/>
              </w:rPr>
            </w:pPr>
            <w:r>
              <w:rPr>
                <w:b/>
                <w:sz w:val="20"/>
              </w:rPr>
              <w:t>Other (expense)/income: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left"/>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(48,220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sz w:val="20"/>
              </w:rPr>
            </w:pPr>
            <w:r>
              <w:rPr>
                <w:sz w:val="20"/>
              </w:rPr>
              <w:t>(37,419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(40,658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(5,894</w:t>
            </w:r>
          </w:p>
        </w:tc>
        <w:tc>
          <w:tcPr>
            <w:tcW w:w="178"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4169" w:type="dxa"/>
            <w:tcBorders/>
            <w:shd w:fill="FFFFFF" w:val="clear"/>
            <w:vAlign w:val="center"/>
          </w:tcPr>
          <w:p>
            <w:pPr>
              <w:pStyle w:val="TableContents"/>
              <w:bidi w:val="0"/>
              <w:spacing w:before="0" w:after="283"/>
              <w:jc w:val="left"/>
              <w:rPr>
                <w:sz w:val="20"/>
              </w:rPr>
            </w:pPr>
            <w:r>
              <w:rPr>
                <w:sz w:val="20"/>
              </w:rPr>
              <w:t>Interest income and investment income,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516,261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430,733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394,020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57,121</w:t>
            </w:r>
          </w:p>
        </w:tc>
        <w:tc>
          <w:tcPr>
            <w:tcW w:w="178" w:type="dxa"/>
            <w:tcBorders/>
            <w:shd w:fill="FFFFFF" w:val="clear"/>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left"/>
              <w:rPr>
                <w:sz w:val="20"/>
              </w:rPr>
            </w:pPr>
            <w:r>
              <w:rPr>
                <w:sz w:val="20"/>
              </w:rPr>
              <w:t>Others, net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44,248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6,415</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Income/(Loss) before income tax</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b/>
                <w:sz w:val="20"/>
              </w:rPr>
            </w:pPr>
            <w:r>
              <w:rPr>
                <w:b/>
                <w:sz w:val="20"/>
              </w:rPr>
              <w:t>774,425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b/>
                <w:sz w:val="20"/>
              </w:rPr>
            </w:pPr>
            <w:r>
              <w:rPr>
                <w:b/>
                <w:sz w:val="20"/>
              </w:rPr>
              <w:t>(27,344</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b/>
                <w:sz w:val="20"/>
              </w:rPr>
            </w:pPr>
            <w:r>
              <w:rPr>
                <w:b/>
                <w:sz w:val="20"/>
              </w:rPr>
              <w:t>(2,601,180</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b/>
                <w:sz w:val="20"/>
              </w:rPr>
            </w:pPr>
            <w:r>
              <w:rPr>
                <w:b/>
                <w:sz w:val="20"/>
              </w:rPr>
              <w:t>(377,091</w:t>
            </w:r>
          </w:p>
        </w:tc>
        <w:tc>
          <w:tcPr>
            <w:tcW w:w="178" w:type="dxa"/>
            <w:tcBorders/>
            <w:shd w:fill="FFFF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CCEEFF" w:val="clear"/>
            <w:vAlign w:val="center"/>
          </w:tcPr>
          <w:p>
            <w:pPr>
              <w:pStyle w:val="TableContents"/>
              <w:bidi w:val="0"/>
              <w:spacing w:before="0" w:after="283"/>
              <w:jc w:val="left"/>
              <w:rPr>
                <w:sz w:val="20"/>
              </w:rPr>
            </w:pPr>
            <w:r>
              <w:rPr>
                <w:sz w:val="20"/>
              </w:rPr>
              <w:t>Income tax (expense)/benefit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(127,780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325,148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47,137</w:t>
            </w:r>
          </w:p>
        </w:tc>
        <w:tc>
          <w:tcPr>
            <w:tcW w:w="178" w:type="dxa"/>
            <w:tcBorders/>
            <w:shd w:fill="CCEEFF" w:val="clear"/>
            <w:vAlign w:val="center"/>
          </w:tcPr>
          <w:p>
            <w:pPr>
              <w:pStyle w:val="TableContents"/>
              <w:bidi w:val="0"/>
              <w:spacing w:before="0" w:after="283"/>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Net income/(loss)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646,645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(2,276,032</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(329,954</w:t>
            </w:r>
          </w:p>
        </w:tc>
        <w:tc>
          <w:tcPr>
            <w:tcW w:w="178" w:type="dxa"/>
            <w:tcBorders/>
            <w:shd w:fill="FFFFFF" w:val="clear"/>
            <w:vAlign w:val="center"/>
          </w:tcPr>
          <w:p>
            <w:pPr>
              <w:pStyle w:val="TableContents"/>
              <w:bidi w:val="0"/>
              <w:spacing w:before="0" w:after="283"/>
              <w:ind w:left="0" w:right="0" w:hanging="160"/>
              <w:jc w:val="left"/>
              <w:rPr>
                <w:b/>
                <w:sz w:val="20"/>
              </w:rPr>
            </w:pPr>
            <w:r>
              <w:rPr>
                <w:b/>
                <w:sz w:val="20"/>
              </w:rPr>
              <w:t>)</w:t>
            </w:r>
          </w:p>
        </w:tc>
      </w:tr>
      <w:tr>
        <w:trPr/>
        <w:tc>
          <w:tcPr>
            <w:tcW w:w="4169" w:type="dxa"/>
            <w:tcBorders/>
            <w:shd w:fill="CCEEFF" w:val="clear"/>
            <w:vAlign w:val="center"/>
          </w:tcPr>
          <w:p>
            <w:pPr>
              <w:pStyle w:val="TableContents"/>
              <w:bidi w:val="0"/>
              <w:spacing w:before="0" w:after="283"/>
              <w:jc w:val="left"/>
              <w:rPr>
                <w:sz w:val="20"/>
              </w:rPr>
            </w:pPr>
            <w:r>
              <w:rPr>
                <w:sz w:val="20"/>
              </w:rPr>
              <w:t>Less: Net (loss)/income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1,957</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Net income/(loss) attributable to ordinary shareholders of Li Auto Inc.</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650,324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(2,289,531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(331,911</w:t>
            </w:r>
          </w:p>
        </w:tc>
        <w:tc>
          <w:tcPr>
            <w:tcW w:w="178" w:type="dxa"/>
            <w:tcBorders/>
            <w:shd w:fill="FFFF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Net income/(loss)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646,645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(2,276,032</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(329,954</w:t>
            </w:r>
          </w:p>
        </w:tc>
        <w:tc>
          <w:tcPr>
            <w:tcW w:w="178" w:type="dxa"/>
            <w:tcBorders/>
            <w:shd w:fill="FFFF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CCEEFF" w:val="clear"/>
            <w:vAlign w:val="center"/>
          </w:tcPr>
          <w:p>
            <w:pPr>
              <w:pStyle w:val="TableContents"/>
              <w:bidi w:val="0"/>
              <w:spacing w:before="0" w:after="283"/>
              <w:jc w:val="left"/>
              <w:rPr>
                <w:b/>
                <w:sz w:val="20"/>
              </w:rPr>
            </w:pPr>
            <w:r>
              <w:rPr>
                <w:b/>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sz w:val="20"/>
              </w:rPr>
            </w:pPr>
            <w:r>
              <w:rPr>
                <w:sz w:val="20"/>
              </w:rPr>
              <w:t>Foreign currency translation adjustment, net of nil tax</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(69,994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(337,950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(161,404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(23,399</w:t>
            </w:r>
          </w:p>
        </w:tc>
        <w:tc>
          <w:tcPr>
            <w:tcW w:w="178"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4169" w:type="dxa"/>
            <w:tcBorders/>
            <w:shd w:fill="CCEEFF" w:val="clear"/>
            <w:vAlign w:val="center"/>
          </w:tcPr>
          <w:p>
            <w:pPr>
              <w:pStyle w:val="TableContents"/>
              <w:bidi w:val="0"/>
              <w:spacing w:before="0" w:after="283"/>
              <w:jc w:val="left"/>
              <w:rPr>
                <w:b/>
                <w:sz w:val="20"/>
              </w:rPr>
            </w:pPr>
            <w:r>
              <w:rPr>
                <w:b/>
                <w:sz w:val="20"/>
              </w:rPr>
              <w:t>Total other comprehensive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(69,994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(337,950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(161,404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(23,399</w:t>
            </w:r>
          </w:p>
        </w:tc>
        <w:tc>
          <w:tcPr>
            <w:tcW w:w="178" w:type="dxa"/>
            <w:tcBorders/>
            <w:shd w:fill="CCEE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FFFFFF" w:val="clear"/>
            <w:vAlign w:val="center"/>
          </w:tcPr>
          <w:p>
            <w:pPr>
              <w:pStyle w:val="TableContents"/>
              <w:bidi w:val="0"/>
              <w:spacing w:before="0" w:after="283"/>
              <w:jc w:val="left"/>
              <w:rPr>
                <w:b/>
                <w:sz w:val="20"/>
              </w:rPr>
            </w:pPr>
            <w:r>
              <w:rPr>
                <w:b/>
                <w:sz w:val="20"/>
              </w:rPr>
              <w:t>Total comprehensive income/(loss)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b/>
                <w:sz w:val="20"/>
              </w:rPr>
            </w:pPr>
            <w:r>
              <w:rPr>
                <w:b/>
                <w:sz w:val="20"/>
              </w:rPr>
              <w:t>576,651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b/>
                <w:sz w:val="20"/>
              </w:rPr>
            </w:pPr>
            <w:r>
              <w:rPr>
                <w:b/>
                <w:sz w:val="20"/>
              </w:rPr>
              <w:t>(317,707</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b/>
                <w:sz w:val="20"/>
              </w:rPr>
            </w:pPr>
            <w:r>
              <w:rPr>
                <w:b/>
                <w:sz w:val="20"/>
              </w:rPr>
              <w:t>(2,437,436</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b/>
                <w:sz w:val="20"/>
              </w:rPr>
            </w:pPr>
            <w:r>
              <w:rPr>
                <w:b/>
                <w:sz w:val="20"/>
              </w:rPr>
              <w:t>(353,353</w:t>
            </w:r>
          </w:p>
        </w:tc>
        <w:tc>
          <w:tcPr>
            <w:tcW w:w="178" w:type="dxa"/>
            <w:tcBorders/>
            <w:shd w:fill="FFFF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CCEEFF" w:val="clear"/>
            <w:vAlign w:val="center"/>
          </w:tcPr>
          <w:p>
            <w:pPr>
              <w:pStyle w:val="TableContents"/>
              <w:bidi w:val="0"/>
              <w:spacing w:before="0" w:after="283"/>
              <w:jc w:val="left"/>
              <w:rPr>
                <w:sz w:val="20"/>
              </w:rPr>
            </w:pPr>
            <w:r>
              <w:rPr>
                <w:sz w:val="20"/>
              </w:rPr>
              <w:t>Less: Net (loss)/income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1,957</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Comprehensive income/(loss) attributable to ordinary shareholders of Li Auto Inc.</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580,330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(331,431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(2,450,935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(355,310</w:t>
            </w:r>
          </w:p>
        </w:tc>
        <w:tc>
          <w:tcPr>
            <w:tcW w:w="178" w:type="dxa"/>
            <w:tcBorders/>
            <w:shd w:fill="FFFFFF" w:val="clear"/>
            <w:vAlign w:val="center"/>
          </w:tcPr>
          <w:p>
            <w:pPr>
              <w:pStyle w:val="TableContents"/>
              <w:bidi w:val="0"/>
              <w:spacing w:before="0" w:after="283"/>
              <w:ind w:left="0" w:right="0" w:hanging="200"/>
              <w:jc w:val="left"/>
              <w:rPr>
                <w:b/>
                <w:sz w:val="20"/>
              </w:rPr>
            </w:pPr>
            <w:r>
              <w:rPr>
                <w:b/>
                <w:sz w:val="20"/>
              </w:rPr>
              <w:t>)</w:t>
            </w:r>
          </w:p>
        </w:tc>
      </w:tr>
      <w:tr>
        <w:trPr/>
        <w:tc>
          <w:tcPr>
            <w:tcW w:w="4169" w:type="dxa"/>
            <w:tcBorders/>
            <w:shd w:fill="CCEEFF" w:val="clear"/>
            <w:vAlign w:val="center"/>
          </w:tcPr>
          <w:p>
            <w:pPr>
              <w:pStyle w:val="TableContents"/>
              <w:bidi w:val="0"/>
              <w:spacing w:before="0" w:after="283"/>
              <w:jc w:val="left"/>
              <w:rPr>
                <w:b/>
                <w:sz w:val="20"/>
              </w:rPr>
            </w:pPr>
            <w:r>
              <w:rPr>
                <w:b/>
                <w:sz w:val="20"/>
              </w:rPr>
              <w:t>Weighted average number of ADSs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1,004,099,494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1,010,547,649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1,013,814,503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1,013,814,503</w:t>
            </w:r>
          </w:p>
        </w:tc>
        <w:tc>
          <w:tcPr>
            <w:tcW w:w="178" w:type="dxa"/>
            <w:tcBorders/>
            <w:shd w:fill="FFFFFF" w:val="clear"/>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1,069,104,610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sz w:val="20"/>
              </w:rPr>
            </w:pPr>
            <w:r>
              <w:rPr>
                <w:sz w:val="20"/>
              </w:rPr>
              <w:t>1,041,928,950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1,013,814,503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1,013,814,503</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Net earnings/(loss) per ADS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sz w:val="20"/>
              </w:rPr>
            </w:pPr>
            <w:r>
              <w:rPr>
                <w:sz w:val="20"/>
              </w:rPr>
              <w:t>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(2.26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(0.33</w:t>
            </w:r>
          </w:p>
        </w:tc>
        <w:tc>
          <w:tcPr>
            <w:tcW w:w="178"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4169"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(2.26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(0.33</w:t>
            </w:r>
          </w:p>
        </w:tc>
        <w:tc>
          <w:tcPr>
            <w:tcW w:w="178"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4169" w:type="dxa"/>
            <w:tcBorders/>
            <w:shd w:fill="CCEEFF" w:val="clear"/>
            <w:vAlign w:val="center"/>
          </w:tcPr>
          <w:p>
            <w:pPr>
              <w:pStyle w:val="TableContents"/>
              <w:bidi w:val="0"/>
              <w:spacing w:before="0" w:after="283"/>
              <w:jc w:val="left"/>
              <w:rPr>
                <w:b/>
                <w:sz w:val="20"/>
              </w:rPr>
            </w:pPr>
            <w:r>
              <w:rPr>
                <w:b/>
                <w:sz w:val="20"/>
              </w:rPr>
              <w:t>Weighted average number of ordinary shares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2,008,198,987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2,021,095,298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2,027,629,006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2,027,629,006</w:t>
            </w:r>
          </w:p>
        </w:tc>
        <w:tc>
          <w:tcPr>
            <w:tcW w:w="178" w:type="dxa"/>
            <w:tcBorders/>
            <w:shd w:fill="FFFFFF" w:val="clear"/>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2,138,209,219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sz w:val="20"/>
              </w:rPr>
            </w:pPr>
            <w:r>
              <w:rPr>
                <w:sz w:val="20"/>
              </w:rPr>
              <w:t>2,083,857,900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2,027,629,006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2,027,629,006</w:t>
            </w:r>
          </w:p>
        </w:tc>
        <w:tc>
          <w:tcPr>
            <w:tcW w:w="178" w:type="dxa"/>
            <w:tcBorders/>
            <w:shd w:fill="CCEEFF" w:val="clear"/>
            <w:vAlign w:val="center"/>
          </w:tcPr>
          <w:p>
            <w:pPr>
              <w:pStyle w:val="TableContents"/>
              <w:bidi w:val="0"/>
              <w:spacing w:before="0" w:after="283"/>
              <w:ind w:left="0" w:right="0" w:hanging="200"/>
              <w:jc w:val="left"/>
              <w:rPr/>
            </w:pPr>
            <w:r>
              <w:rPr/>
              <w:t> </w:t>
            </w:r>
          </w:p>
        </w:tc>
      </w:tr>
      <w:tr>
        <w:trPr/>
        <w:tc>
          <w:tcPr>
            <w:tcW w:w="4169" w:type="dxa"/>
            <w:tcBorders/>
            <w:shd w:fill="FFFFFF" w:val="clear"/>
            <w:vAlign w:val="center"/>
          </w:tcPr>
          <w:p>
            <w:pPr>
              <w:pStyle w:val="TableContents"/>
              <w:bidi w:val="0"/>
              <w:spacing w:before="0" w:after="283"/>
              <w:jc w:val="left"/>
              <w:rPr>
                <w:b/>
                <w:sz w:val="20"/>
              </w:rPr>
            </w:pPr>
            <w:r>
              <w:rPr>
                <w:b/>
                <w:sz w:val="20"/>
              </w:rPr>
              <w:t>Net earnings/(loss)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ind w:left="0" w:right="0" w:hanging="200"/>
              <w:jc w:val="left"/>
              <w:rPr/>
            </w:pPr>
            <w:r>
              <w:rPr/>
              <w:t> </w:t>
            </w:r>
          </w:p>
        </w:tc>
      </w:tr>
      <w:tr>
        <w:trPr/>
        <w:tc>
          <w:tcPr>
            <w:tcW w:w="4169"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sz w:val="20"/>
              </w:rPr>
            </w:pPr>
            <w:r>
              <w:rPr>
                <w:sz w:val="20"/>
              </w:rPr>
              <w:t>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(1.13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sz w:val="20"/>
              </w:rPr>
            </w:pPr>
            <w:r>
              <w:rPr>
                <w:sz w:val="20"/>
              </w:rPr>
              <w:t>(0.16</w:t>
            </w:r>
          </w:p>
        </w:tc>
        <w:tc>
          <w:tcPr>
            <w:tcW w:w="178"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4169"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0.31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sz w:val="20"/>
              </w:rPr>
            </w:pPr>
            <w:r>
              <w:rPr>
                <w:sz w:val="20"/>
              </w:rPr>
              <w:t>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(1.13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sz w:val="20"/>
              </w:rPr>
            </w:pPr>
            <w:r>
              <w:rPr>
                <w:sz w:val="20"/>
              </w:rPr>
              <w:t>(0.16</w:t>
            </w:r>
          </w:p>
        </w:tc>
        <w:tc>
          <w:tcPr>
            <w:tcW w:w="178"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8192" w:type="dxa"/>
        <w:jc w:val="left"/>
        <w:tblInd w:w="0" w:type="dxa"/>
        <w:tblLayout w:type="fixed"/>
        <w:tblCellMar>
          <w:top w:w="0" w:type="dxa"/>
          <w:left w:w="0" w:type="dxa"/>
          <w:bottom w:w="0" w:type="dxa"/>
          <w:right w:w="0" w:type="dxa"/>
        </w:tblCellMar>
      </w:tblPr>
      <w:tblGrid>
        <w:gridCol w:w="3470"/>
        <w:gridCol w:w="60"/>
        <w:gridCol w:w="88"/>
        <w:gridCol w:w="1551"/>
        <w:gridCol w:w="60"/>
        <w:gridCol w:w="60"/>
        <w:gridCol w:w="72"/>
        <w:gridCol w:w="1282"/>
        <w:gridCol w:w="60"/>
        <w:gridCol w:w="60"/>
        <w:gridCol w:w="80"/>
        <w:gridCol w:w="1274"/>
        <w:gridCol w:w="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7"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 2026</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56,691,765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42,815,524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6,206,948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216,314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55,043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7,980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Time deposits and short-term investments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44,331,407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50,289,636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7,290,466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Trade receivable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119,823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129,005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18,702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8,752,439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7,034,287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1,019,757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5,174,246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5,281,281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765,625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b/>
                <w:sz w:val="20"/>
              </w:rPr>
            </w:pPr>
            <w:r>
              <w:rPr>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115,285,994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105,604,776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15,309,478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Non-current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848,672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2,013,304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291,868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22,774,938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21,840,220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3,166,167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9,099,313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8,556,156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1,240,382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1,191,974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1,172,077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169,915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5,484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5,484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795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3,334,206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3,589,633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520,388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1,755,237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1,783,871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258,607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b/>
                <w:sz w:val="20"/>
              </w:rPr>
            </w:pPr>
            <w:r>
              <w:rPr>
                <w:b/>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39,009,824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38,960,745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5,648,122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154,295,818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144,565,521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20,957,600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b/>
                <w:sz w:val="20"/>
              </w:rPr>
            </w:pPr>
            <w:r>
              <w:rPr>
                <w:b/>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6,217,745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6,162,841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893,424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Trade and notes payable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40,579,219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35,975,795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5,215,395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26,644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14,312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2,075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Deferred revenue, current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1,621,429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1,395,838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202,354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1,690,356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1,546,085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224,135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Accruals and other current liabilities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13,412,260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11,094,658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1,608,390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b/>
                <w:sz w:val="20"/>
              </w:rPr>
            </w:pPr>
            <w:r>
              <w:rPr>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63,547,653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56,189,529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8,145,773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Long-term borrowings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3,299,203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3,787,859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549,124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Deferred revenue, non-current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624,734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654,058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94,818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6,258,957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5,892,209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854,191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Finance lease liabilities, non-current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sz w:val="20"/>
              </w:rPr>
            </w:pPr>
            <w:r>
              <w:rPr>
                <w:sz w:val="20"/>
              </w:rPr>
              <w:t>348,506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348,912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sz w:val="20"/>
              </w:rPr>
            </w:pPr>
            <w:r>
              <w:rPr>
                <w:sz w:val="20"/>
              </w:rPr>
              <w:t>50,582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sz w:val="20"/>
              </w:rPr>
            </w:pPr>
            <w:r>
              <w:rPr>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sz w:val="20"/>
              </w:rPr>
            </w:pPr>
            <w:r>
              <w:rPr>
                <w:sz w:val="20"/>
              </w:rPr>
              <w:t>691,652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589,971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sz w:val="20"/>
              </w:rPr>
            </w:pPr>
            <w:r>
              <w:rPr>
                <w:sz w:val="20"/>
              </w:rPr>
              <w:t>85,528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6,385,370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6,496,091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941,735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b/>
                <w:sz w:val="20"/>
              </w:rPr>
            </w:pPr>
            <w:r>
              <w:rPr>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17,608,422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17,769,100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2,575,978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81,156,075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73,958,629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10,721,751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b/>
                <w:sz w:val="20"/>
              </w:rPr>
            </w:pPr>
            <w:r>
              <w:rPr>
                <w:b/>
                <w:sz w:val="20"/>
              </w:rPr>
              <w:t>Total Li Auto Inc. shareholders’ equity</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72,619,255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70,072,905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10,158,437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sz w:val="20"/>
              </w:rPr>
            </w:pPr>
            <w:r>
              <w:rPr>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520,488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533,987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77,412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b/>
                <w:sz w:val="20"/>
              </w:rPr>
            </w:pPr>
            <w:r>
              <w:rPr>
                <w:b/>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73,139,743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70,606,892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10,235,849</w:t>
            </w:r>
          </w:p>
        </w:tc>
        <w:tc>
          <w:tcPr>
            <w:tcW w:w="75" w:type="dxa"/>
            <w:tcBorders/>
            <w:shd w:fill="FFFFFF" w:val="clear"/>
            <w:vAlign w:val="center"/>
          </w:tcPr>
          <w:p>
            <w:pPr>
              <w:pStyle w:val="TableContents"/>
              <w:bidi w:val="0"/>
              <w:spacing w:before="0" w:after="283"/>
              <w:ind w:left="0" w:right="0" w:hanging="202"/>
              <w:jc w:val="left"/>
              <w:rPr/>
            </w:pPr>
            <w:r>
              <w:rPr/>
              <w:t> </w:t>
            </w:r>
          </w:p>
        </w:tc>
      </w:tr>
      <w:tr>
        <w:trPr/>
        <w:tc>
          <w:tcPr>
            <w:tcW w:w="3470" w:type="dxa"/>
            <w:tcBorders/>
            <w:shd w:fill="CCEEFF" w:val="clear"/>
            <w:vAlign w:val="center"/>
          </w:tcPr>
          <w:p>
            <w:pPr>
              <w:pStyle w:val="TableContents"/>
              <w:bidi w:val="0"/>
              <w:spacing w:before="0" w:after="283"/>
              <w:jc w:val="both"/>
              <w:rPr>
                <w:b/>
                <w:sz w:val="20"/>
              </w:rPr>
            </w:pPr>
            <w:r>
              <w:rPr>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154,295,818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144,565,521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20,957,600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8"/>
        <w:gridCol w:w="60"/>
        <w:gridCol w:w="60"/>
        <w:gridCol w:w="1010"/>
        <w:gridCol w:w="80"/>
        <w:gridCol w:w="60"/>
        <w:gridCol w:w="67"/>
        <w:gridCol w:w="1078"/>
        <w:gridCol w:w="80"/>
        <w:gridCol w:w="60"/>
        <w:gridCol w:w="60"/>
        <w:gridCol w:w="1010"/>
        <w:gridCol w:w="80"/>
        <w:gridCol w:w="60"/>
        <w:gridCol w:w="60"/>
        <w:gridCol w:w="905"/>
        <w:gridCol w:w="97"/>
      </w:tblGrid>
      <w:tr>
        <w:trPr/>
        <w:tc>
          <w:tcPr>
            <w:tcW w:w="5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0"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r>
          </w:p>
        </w:tc>
        <w:tc>
          <w:tcPr>
            <w:tcW w:w="97" w:type="dxa"/>
            <w:tcBorders/>
            <w:vAlign w:val="center"/>
          </w:tcPr>
          <w:p>
            <w:pPr>
              <w:pStyle w:val="TableContents"/>
              <w:bidi w:val="0"/>
              <w:spacing w:before="0" w:after="283"/>
              <w:jc w:val="left"/>
              <w:rPr/>
            </w:pPr>
            <w:r>
              <w:rPr/>
              <w:t> </w:t>
            </w:r>
          </w:p>
        </w:tc>
      </w:tr>
      <w:tr>
        <w:trPr/>
        <w:tc>
          <w:tcPr>
            <w:tcW w:w="5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20"/>
              </w:rPr>
            </w:pPr>
            <w:r>
              <w:rPr>
                <w:b/>
                <w:sz w:val="20"/>
              </w:rPr>
              <w:t>US$</w:t>
            </w:r>
          </w:p>
        </w:tc>
        <w:tc>
          <w:tcPr>
            <w:tcW w:w="97" w:type="dxa"/>
            <w:tcBorders/>
            <w:vAlign w:val="center"/>
          </w:tcPr>
          <w:p>
            <w:pPr>
              <w:pStyle w:val="TableContents"/>
              <w:bidi w:val="0"/>
              <w:spacing w:before="0" w:after="283"/>
              <w:ind w:left="0" w:right="0" w:hanging="202"/>
              <w:jc w:val="left"/>
              <w:rPr/>
            </w:pPr>
            <w:r>
              <w:rPr/>
              <w:t> </w:t>
            </w:r>
          </w:p>
        </w:tc>
      </w:tr>
      <w:tr>
        <w:trPr/>
        <w:tc>
          <w:tcPr>
            <w:tcW w:w="5378" w:type="dxa"/>
            <w:tcBorders/>
            <w:shd w:fill="CCEEFF" w:val="clear"/>
            <w:vAlign w:val="center"/>
          </w:tcPr>
          <w:p>
            <w:pPr>
              <w:pStyle w:val="TableContents"/>
              <w:bidi w:val="0"/>
              <w:spacing w:before="0" w:after="283"/>
              <w:jc w:val="left"/>
              <w:rPr>
                <w:sz w:val="20"/>
              </w:rPr>
            </w:pPr>
            <w:r>
              <w:rPr>
                <w:sz w:val="20"/>
              </w:rPr>
              <w:t>Net cash (used in)/provided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(1,700,968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3,521,370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(6,090,994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(883,009</w:t>
            </w:r>
          </w:p>
        </w:tc>
        <w:tc>
          <w:tcPr>
            <w:tcW w:w="97" w:type="dxa"/>
            <w:tcBorders/>
            <w:shd w:fill="CCEEFF" w:val="clear"/>
            <w:vAlign w:val="center"/>
          </w:tcPr>
          <w:p>
            <w:pPr>
              <w:pStyle w:val="TableContents"/>
              <w:bidi w:val="0"/>
              <w:spacing w:before="0" w:after="283"/>
              <w:ind w:left="0" w:right="0" w:hanging="202"/>
              <w:jc w:val="left"/>
              <w:rPr>
                <w:sz w:val="20"/>
              </w:rPr>
            </w:pPr>
            <w:r>
              <w:rPr>
                <w:sz w:val="20"/>
              </w:rPr>
              <w:t>)</w:t>
            </w:r>
          </w:p>
        </w:tc>
      </w:tr>
      <w:tr>
        <w:trPr/>
        <w:tc>
          <w:tcPr>
            <w:tcW w:w="5378" w:type="dxa"/>
            <w:tcBorders/>
            <w:shd w:fill="FFFFFF" w:val="clear"/>
            <w:vAlign w:val="center"/>
          </w:tcPr>
          <w:p>
            <w:pPr>
              <w:pStyle w:val="TableContents"/>
              <w:bidi w:val="0"/>
              <w:spacing w:before="0" w:after="283"/>
              <w:jc w:val="left"/>
              <w:rPr>
                <w:sz w:val="20"/>
              </w:rPr>
            </w:pPr>
            <w:r>
              <w:rPr>
                <w:sz w:val="20"/>
              </w:rPr>
              <w:t>Net cash (used in)/provided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(10,959,789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2,110,251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(8,181,439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(1,186,060</w:t>
            </w:r>
          </w:p>
        </w:tc>
        <w:tc>
          <w:tcPr>
            <w:tcW w:w="97" w:type="dxa"/>
            <w:tcBorders/>
            <w:shd w:fill="FFFFFF" w:val="clear"/>
            <w:vAlign w:val="center"/>
          </w:tcPr>
          <w:p>
            <w:pPr>
              <w:pStyle w:val="TableContents"/>
              <w:bidi w:val="0"/>
              <w:spacing w:before="0" w:after="283"/>
              <w:ind w:left="0" w:right="0" w:hanging="202"/>
              <w:jc w:val="left"/>
              <w:rPr>
                <w:sz w:val="20"/>
              </w:rPr>
            </w:pPr>
            <w:r>
              <w:rPr>
                <w:sz w:val="20"/>
              </w:rPr>
              <w:t>)</w:t>
            </w:r>
          </w:p>
        </w:tc>
      </w:tr>
      <w:tr>
        <w:trPr/>
        <w:tc>
          <w:tcPr>
            <w:tcW w:w="5378" w:type="dxa"/>
            <w:tcBorders/>
            <w:shd w:fill="CCEEFF" w:val="clear"/>
            <w:vAlign w:val="center"/>
          </w:tcPr>
          <w:p>
            <w:pPr>
              <w:pStyle w:val="TableContents"/>
              <w:bidi w:val="0"/>
              <w:spacing w:before="0" w:after="283"/>
              <w:jc w:val="left"/>
              <w:rPr>
                <w:sz w:val="20"/>
              </w:rPr>
            </w:pPr>
            <w:r>
              <w:rPr>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61,406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178,563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337,303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48,899</w:t>
            </w:r>
          </w:p>
        </w:tc>
        <w:tc>
          <w:tcPr>
            <w:tcW w:w="97" w:type="dxa"/>
            <w:tcBorders/>
            <w:shd w:fill="CCEEFF" w:val="clear"/>
            <w:vAlign w:val="center"/>
          </w:tcPr>
          <w:p>
            <w:pPr>
              <w:pStyle w:val="TableContents"/>
              <w:bidi w:val="0"/>
              <w:spacing w:before="0" w:after="283"/>
              <w:ind w:left="0" w:right="0" w:hanging="202"/>
              <w:jc w:val="left"/>
              <w:rPr/>
            </w:pPr>
            <w:r>
              <w:rPr/>
              <w:t> </w:t>
            </w:r>
          </w:p>
        </w:tc>
      </w:tr>
      <w:tr>
        <w:trPr/>
        <w:tc>
          <w:tcPr>
            <w:tcW w:w="5378" w:type="dxa"/>
            <w:tcBorders/>
            <w:shd w:fill="FFFFFF" w:val="clear"/>
            <w:vAlign w:val="center"/>
          </w:tcPr>
          <w:p>
            <w:pPr>
              <w:pStyle w:val="TableContents"/>
              <w:bidi w:val="0"/>
              <w:spacing w:before="0" w:after="283"/>
              <w:jc w:val="left"/>
              <w:rPr>
                <w:sz w:val="20"/>
              </w:rPr>
            </w:pPr>
            <w:r>
              <w:rPr>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(70,282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(225,491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(102,382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(14,841</w:t>
            </w:r>
          </w:p>
        </w:tc>
        <w:tc>
          <w:tcPr>
            <w:tcW w:w="97" w:type="dxa"/>
            <w:tcBorders/>
            <w:shd w:fill="FFFFFF" w:val="clear"/>
            <w:vAlign w:val="center"/>
          </w:tcPr>
          <w:p>
            <w:pPr>
              <w:pStyle w:val="TableContents"/>
              <w:bidi w:val="0"/>
              <w:spacing w:before="0" w:after="283"/>
              <w:ind w:left="0" w:right="0" w:hanging="202"/>
              <w:jc w:val="left"/>
              <w:rPr>
                <w:sz w:val="20"/>
              </w:rPr>
            </w:pPr>
            <w:r>
              <w:rPr>
                <w:sz w:val="20"/>
              </w:rPr>
              <w:t>)</w:t>
            </w:r>
          </w:p>
        </w:tc>
      </w:tr>
      <w:tr>
        <w:trPr/>
        <w:tc>
          <w:tcPr>
            <w:tcW w:w="5378" w:type="dxa"/>
            <w:tcBorders/>
            <w:shd w:fill="CCEEFF" w:val="clear"/>
            <w:vAlign w:val="center"/>
          </w:tcPr>
          <w:p>
            <w:pPr>
              <w:pStyle w:val="TableContents"/>
              <w:bidi w:val="0"/>
              <w:spacing w:before="0" w:after="283"/>
              <w:jc w:val="both"/>
              <w:rPr>
                <w:b/>
                <w:sz w:val="20"/>
              </w:rPr>
            </w:pPr>
            <w:r>
              <w:rPr>
                <w:b/>
                <w:sz w:val="20"/>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(12,669,633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5,584,693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(14,037,512</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(2,035,011</w:t>
            </w:r>
          </w:p>
        </w:tc>
        <w:tc>
          <w:tcPr>
            <w:tcW w:w="97" w:type="dxa"/>
            <w:tcBorders/>
            <w:shd w:fill="CCEEFF" w:val="clear"/>
            <w:vAlign w:val="center"/>
          </w:tcPr>
          <w:p>
            <w:pPr>
              <w:pStyle w:val="TableContents"/>
              <w:bidi w:val="0"/>
              <w:spacing w:before="0" w:after="283"/>
              <w:ind w:left="0" w:right="0" w:hanging="202"/>
              <w:jc w:val="left"/>
              <w:rPr>
                <w:b/>
                <w:sz w:val="20"/>
              </w:rPr>
            </w:pPr>
            <w:r>
              <w:rPr>
                <w:b/>
                <w:sz w:val="20"/>
              </w:rPr>
              <w:t>)</w:t>
            </w:r>
          </w:p>
        </w:tc>
      </w:tr>
      <w:tr>
        <w:trPr/>
        <w:tc>
          <w:tcPr>
            <w:tcW w:w="5378" w:type="dxa"/>
            <w:tcBorders/>
            <w:shd w:fill="FFFFFF" w:val="clear"/>
            <w:vAlign w:val="center"/>
          </w:tcPr>
          <w:p>
            <w:pPr>
              <w:pStyle w:val="TableContents"/>
              <w:bidi w:val="0"/>
              <w:spacing w:before="0" w:after="283"/>
              <w:jc w:val="left"/>
              <w:rPr>
                <w:sz w:val="20"/>
              </w:rPr>
            </w:pPr>
            <w:r>
              <w:rPr>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65,907,972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51,323,386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56,908,079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8,249,939</w:t>
            </w:r>
          </w:p>
        </w:tc>
        <w:tc>
          <w:tcPr>
            <w:tcW w:w="97" w:type="dxa"/>
            <w:tcBorders/>
            <w:shd w:fill="FFFFFF" w:val="clear"/>
            <w:vAlign w:val="center"/>
          </w:tcPr>
          <w:p>
            <w:pPr>
              <w:pStyle w:val="TableContents"/>
              <w:bidi w:val="0"/>
              <w:spacing w:before="0" w:after="283"/>
              <w:ind w:left="0" w:right="0" w:hanging="202"/>
              <w:jc w:val="left"/>
              <w:rPr/>
            </w:pPr>
            <w:r>
              <w:rPr/>
              <w:t> </w:t>
            </w:r>
          </w:p>
        </w:tc>
      </w:tr>
      <w:tr>
        <w:trPr/>
        <w:tc>
          <w:tcPr>
            <w:tcW w:w="5378" w:type="dxa"/>
            <w:tcBorders/>
            <w:shd w:fill="CCEEFF" w:val="clear"/>
            <w:vAlign w:val="center"/>
          </w:tcPr>
          <w:p>
            <w:pPr>
              <w:pStyle w:val="TableContents"/>
              <w:bidi w:val="0"/>
              <w:spacing w:before="0" w:after="283"/>
              <w:jc w:val="left"/>
              <w:rPr>
                <w:b/>
                <w:sz w:val="20"/>
              </w:rPr>
            </w:pPr>
            <w:r>
              <w:rPr>
                <w:b/>
                <w:sz w:val="20"/>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53,238,339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56,908,079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42,870,567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6,214,928</w:t>
            </w:r>
          </w:p>
        </w:tc>
        <w:tc>
          <w:tcPr>
            <w:tcW w:w="97" w:type="dxa"/>
            <w:tcBorders/>
            <w:shd w:fill="CCEEFF" w:val="clear"/>
            <w:vAlign w:val="center"/>
          </w:tcPr>
          <w:p>
            <w:pPr>
              <w:pStyle w:val="TableContents"/>
              <w:bidi w:val="0"/>
              <w:spacing w:before="0" w:after="283"/>
              <w:jc w:val="left"/>
              <w:rPr/>
            </w:pPr>
            <w:r>
              <w:rPr/>
              <w:t> </w:t>
            </w:r>
          </w:p>
        </w:tc>
      </w:tr>
      <w:tr>
        <w:trPr/>
        <w:tc>
          <w:tcPr>
            <w:tcW w:w="53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202"/>
              <w:jc w:val="left"/>
              <w:rPr/>
            </w:pPr>
            <w:r>
              <w:rPr/>
              <w:t> </w:t>
            </w:r>
          </w:p>
        </w:tc>
      </w:tr>
      <w:tr>
        <w:trPr/>
        <w:tc>
          <w:tcPr>
            <w:tcW w:w="5378" w:type="dxa"/>
            <w:tcBorders/>
            <w:shd w:fill="CCEEFF" w:val="clear"/>
            <w:vAlign w:val="center"/>
          </w:tcPr>
          <w:p>
            <w:pPr>
              <w:pStyle w:val="TableContents"/>
              <w:bidi w:val="0"/>
              <w:spacing w:before="0" w:after="283"/>
              <w:jc w:val="left"/>
              <w:rPr>
                <w:b/>
                <w:sz w:val="20"/>
              </w:rPr>
            </w:pPr>
            <w:r>
              <w:rPr>
                <w:b/>
                <w:sz w:val="20"/>
              </w:rPr>
              <w:t>Net cash (used in)/provided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sz w:val="20"/>
              </w:rPr>
            </w:pPr>
            <w:r>
              <w:rPr>
                <w:b/>
                <w:sz w:val="20"/>
              </w:rPr>
              <w:t>(1,700,968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3,521,370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sz w:val="20"/>
              </w:rPr>
            </w:pPr>
            <w:r>
              <w:rPr>
                <w:b/>
                <w:sz w:val="20"/>
              </w:rPr>
              <w:t>(6,090,994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sz w:val="20"/>
              </w:rPr>
            </w:pPr>
            <w:r>
              <w:rPr>
                <w:b/>
                <w:sz w:val="20"/>
              </w:rPr>
              <w:t>(883,009</w:t>
            </w:r>
          </w:p>
        </w:tc>
        <w:tc>
          <w:tcPr>
            <w:tcW w:w="97" w:type="dxa"/>
            <w:tcBorders/>
            <w:shd w:fill="CCEEFF" w:val="clear"/>
            <w:vAlign w:val="center"/>
          </w:tcPr>
          <w:p>
            <w:pPr>
              <w:pStyle w:val="TableContents"/>
              <w:bidi w:val="0"/>
              <w:spacing w:before="0" w:after="283"/>
              <w:ind w:left="0" w:right="0" w:hanging="202"/>
              <w:jc w:val="left"/>
              <w:rPr>
                <w:b/>
                <w:sz w:val="20"/>
              </w:rPr>
            </w:pPr>
            <w:r>
              <w:rPr>
                <w:b/>
                <w:sz w:val="20"/>
              </w:rPr>
              <w:t>)</w:t>
            </w:r>
          </w:p>
        </w:tc>
      </w:tr>
      <w:tr>
        <w:trPr/>
        <w:tc>
          <w:tcPr>
            <w:tcW w:w="5378" w:type="dxa"/>
            <w:tcBorders/>
            <w:shd w:fill="FFFFFF" w:val="clear"/>
            <w:vAlign w:val="center"/>
          </w:tcPr>
          <w:p>
            <w:pPr>
              <w:pStyle w:val="TableContents"/>
              <w:bidi w:val="0"/>
              <w:spacing w:before="0" w:after="283"/>
              <w:jc w:val="left"/>
              <w:rPr>
                <w:sz w:val="20"/>
              </w:rPr>
            </w:pPr>
            <w:r>
              <w:rPr>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(829,597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(1,053,769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(1,297,326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(188,073</w:t>
            </w:r>
          </w:p>
        </w:tc>
        <w:tc>
          <w:tcPr>
            <w:tcW w:w="97" w:type="dxa"/>
            <w:tcBorders/>
            <w:shd w:fill="FFFFFF" w:val="clear"/>
            <w:vAlign w:val="center"/>
          </w:tcPr>
          <w:p>
            <w:pPr>
              <w:pStyle w:val="TableContents"/>
              <w:bidi w:val="0"/>
              <w:spacing w:before="0" w:after="283"/>
              <w:ind w:left="0" w:right="0" w:hanging="202"/>
              <w:jc w:val="left"/>
              <w:rPr>
                <w:sz w:val="20"/>
              </w:rPr>
            </w:pPr>
            <w:r>
              <w:rPr>
                <w:sz w:val="20"/>
              </w:rPr>
              <w:t>)</w:t>
            </w:r>
          </w:p>
        </w:tc>
      </w:tr>
      <w:tr>
        <w:trPr/>
        <w:tc>
          <w:tcPr>
            <w:tcW w:w="5378" w:type="dxa"/>
            <w:tcBorders/>
            <w:shd w:fill="CCEEFF" w:val="clear"/>
            <w:vAlign w:val="center"/>
          </w:tcPr>
          <w:p>
            <w:pPr>
              <w:pStyle w:val="TableContents"/>
              <w:bidi w:val="0"/>
              <w:spacing w:before="0" w:after="283"/>
              <w:jc w:val="left"/>
              <w:rPr>
                <w:b/>
                <w:sz w:val="20"/>
              </w:rPr>
            </w:pPr>
            <w:r>
              <w:rPr>
                <w:b/>
                <w:sz w:val="20"/>
              </w:rPr>
              <w:t>Free cash flow (non-GAAP)</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(2,530,565</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2,467,601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(7,388,320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(1,071,082</w:t>
            </w:r>
          </w:p>
        </w:tc>
        <w:tc>
          <w:tcPr>
            <w:tcW w:w="97"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U.S. GAAP and Non-GAAP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ADS/ordinary share and per ADS/ordinary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0"/>
        <w:gridCol w:w="60"/>
        <w:gridCol w:w="60"/>
        <w:gridCol w:w="1205"/>
        <w:gridCol w:w="80"/>
        <w:gridCol w:w="60"/>
        <w:gridCol w:w="60"/>
        <w:gridCol w:w="1205"/>
        <w:gridCol w:w="80"/>
        <w:gridCol w:w="60"/>
        <w:gridCol w:w="60"/>
        <w:gridCol w:w="1205"/>
        <w:gridCol w:w="80"/>
        <w:gridCol w:w="60"/>
        <w:gridCol w:w="60"/>
        <w:gridCol w:w="1205"/>
        <w:gridCol w:w="95"/>
      </w:tblGrid>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0"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r>
          </w:p>
        </w:tc>
        <w:tc>
          <w:tcPr>
            <w:tcW w:w="95"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sz w:val="20"/>
              </w:rPr>
            </w:pPr>
            <w:r>
              <w:rPr>
                <w:b/>
                <w:sz w:val="20"/>
              </w:rPr>
              <w:t>US$</w:t>
            </w:r>
          </w:p>
        </w:tc>
        <w:tc>
          <w:tcPr>
            <w:tcW w:w="95" w:type="dxa"/>
            <w:tcBorders/>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Cost of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(20,608,355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(23,644,793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(21,174,866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(3,069,711</w:t>
            </w:r>
          </w:p>
        </w:tc>
        <w:tc>
          <w:tcPr>
            <w:tcW w:w="95" w:type="dxa"/>
            <w:tcBorders/>
            <w:shd w:fill="CCEEFF" w:val="clear"/>
            <w:vAlign w:val="center"/>
          </w:tcPr>
          <w:p>
            <w:pPr>
              <w:pStyle w:val="TableContents"/>
              <w:bidi w:val="0"/>
              <w:spacing w:before="0" w:after="283"/>
              <w:ind w:left="0" w:right="0" w:hanging="202"/>
              <w:jc w:val="left"/>
              <w:rPr>
                <w:sz w:val="20"/>
              </w:rPr>
            </w:pPr>
            <w:r>
              <w:rPr>
                <w:sz w:val="20"/>
              </w:rPr>
              <w:t>)</w:t>
            </w:r>
          </w:p>
        </w:tc>
      </w:tr>
      <w:tr>
        <w:trPr/>
        <w:tc>
          <w:tcPr>
            <w:tcW w:w="4570" w:type="dxa"/>
            <w:tcBorders/>
            <w:shd w:fill="FFFFFF" w:val="clear"/>
            <w:vAlign w:val="center"/>
          </w:tcPr>
          <w:p>
            <w:pPr>
              <w:pStyle w:val="TableContents"/>
              <w:bidi w:val="0"/>
              <w:spacing w:before="0" w:after="283"/>
              <w:jc w:val="left"/>
              <w:rPr>
                <w:sz w:val="20"/>
              </w:rPr>
            </w:pPr>
            <w:r>
              <w:rPr>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1,266</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b/>
                <w:sz w:val="20"/>
              </w:rPr>
            </w:pPr>
            <w:r>
              <w:rPr>
                <w:b/>
                <w:sz w:val="20"/>
              </w:rPr>
              <w:t>Non-GAAP cost of sales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(20,601,159</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(23,634,388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(21,166,136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(3,068,445</w:t>
            </w:r>
          </w:p>
        </w:tc>
        <w:tc>
          <w:tcPr>
            <w:tcW w:w="95" w:type="dxa"/>
            <w:tcBorders/>
            <w:shd w:fill="CCEEFF" w:val="clear"/>
            <w:vAlign w:val="center"/>
          </w:tcPr>
          <w:p>
            <w:pPr>
              <w:pStyle w:val="TableContents"/>
              <w:bidi w:val="0"/>
              <w:spacing w:before="0" w:after="283"/>
              <w:ind w:left="0" w:right="0" w:hanging="202"/>
              <w:jc w:val="left"/>
              <w:rPr>
                <w:b/>
                <w:sz w:val="20"/>
              </w:rPr>
            </w:pPr>
            <w:r>
              <w:rPr>
                <w:b/>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(2,513,854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(3,016,587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(2,722,159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(394,630</w:t>
            </w:r>
          </w:p>
        </w:tc>
        <w:tc>
          <w:tcPr>
            <w:tcW w:w="95" w:type="dxa"/>
            <w:tcBorders/>
            <w:shd w:fill="CCEEFF" w:val="clear"/>
            <w:vAlign w:val="center"/>
          </w:tcPr>
          <w:p>
            <w:pPr>
              <w:pStyle w:val="TableContents"/>
              <w:bidi w:val="0"/>
              <w:spacing w:before="0" w:after="283"/>
              <w:ind w:left="0" w:right="0" w:hanging="202"/>
              <w:jc w:val="left"/>
              <w:rPr>
                <w:sz w:val="20"/>
              </w:rPr>
            </w:pPr>
            <w:r>
              <w:rPr>
                <w:sz w:val="20"/>
              </w:rPr>
              <w:t>)</w:t>
            </w:r>
          </w:p>
        </w:tc>
      </w:tr>
      <w:tr>
        <w:trPr/>
        <w:tc>
          <w:tcPr>
            <w:tcW w:w="4570" w:type="dxa"/>
            <w:tcBorders/>
            <w:shd w:fill="FFFFFF" w:val="clear"/>
            <w:vAlign w:val="center"/>
          </w:tcPr>
          <w:p>
            <w:pPr>
              <w:pStyle w:val="TableContents"/>
              <w:bidi w:val="0"/>
              <w:spacing w:before="0" w:after="283"/>
              <w:jc w:val="left"/>
              <w:rPr>
                <w:sz w:val="20"/>
              </w:rPr>
            </w:pPr>
            <w:r>
              <w:rPr>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238,932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143,303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128,160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18,579</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b/>
                <w:sz w:val="20"/>
              </w:rPr>
            </w:pPr>
            <w:r>
              <w:rPr>
                <w:b/>
                <w:sz w:val="20"/>
              </w:rPr>
              <w:t>Non-GAAP 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(2,274,922</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(2,873,284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(2,593,999</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(376,051</w:t>
            </w:r>
          </w:p>
        </w:tc>
        <w:tc>
          <w:tcPr>
            <w:tcW w:w="95" w:type="dxa"/>
            <w:tcBorders/>
            <w:shd w:fill="CCEEFF" w:val="clear"/>
            <w:vAlign w:val="center"/>
          </w:tcPr>
          <w:p>
            <w:pPr>
              <w:pStyle w:val="TableContents"/>
              <w:bidi w:val="0"/>
              <w:spacing w:before="0" w:after="283"/>
              <w:ind w:left="0" w:right="0" w:hanging="202"/>
              <w:jc w:val="left"/>
              <w:rPr>
                <w:b/>
                <w:sz w:val="20"/>
              </w:rPr>
            </w:pPr>
            <w:r>
              <w:rPr>
                <w:b/>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(2,531,009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(2,647,068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(2,049,203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(297,072</w:t>
            </w:r>
          </w:p>
        </w:tc>
        <w:tc>
          <w:tcPr>
            <w:tcW w:w="95" w:type="dxa"/>
            <w:tcBorders/>
            <w:shd w:fill="CCEEFF" w:val="clear"/>
            <w:vAlign w:val="center"/>
          </w:tcPr>
          <w:p>
            <w:pPr>
              <w:pStyle w:val="TableContents"/>
              <w:bidi w:val="0"/>
              <w:spacing w:before="0" w:after="283"/>
              <w:ind w:left="0" w:right="0" w:hanging="202"/>
              <w:jc w:val="left"/>
              <w:rPr>
                <w:sz w:val="20"/>
              </w:rPr>
            </w:pPr>
            <w:r>
              <w:rPr>
                <w:sz w:val="20"/>
              </w:rPr>
              <w:t>)</w:t>
            </w:r>
          </w:p>
        </w:tc>
      </w:tr>
      <w:tr>
        <w:trPr/>
        <w:tc>
          <w:tcPr>
            <w:tcW w:w="4570" w:type="dxa"/>
            <w:tcBorders/>
            <w:shd w:fill="FFFFFF" w:val="clear"/>
            <w:vAlign w:val="center"/>
          </w:tcPr>
          <w:p>
            <w:pPr>
              <w:pStyle w:val="TableContents"/>
              <w:bidi w:val="0"/>
              <w:spacing w:before="0" w:after="283"/>
              <w:jc w:val="left"/>
              <w:rPr>
                <w:sz w:val="20"/>
              </w:rPr>
            </w:pPr>
            <w:r>
              <w:rPr>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121,511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4,517</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b/>
                <w:sz w:val="20"/>
              </w:rPr>
            </w:pPr>
            <w:r>
              <w:rPr>
                <w:b/>
                <w:sz w:val="20"/>
              </w:rPr>
              <w:t>Non-GAAP 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(2,409,498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(2,546,576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(2,018,047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(292,555</w:t>
            </w:r>
          </w:p>
        </w:tc>
        <w:tc>
          <w:tcPr>
            <w:tcW w:w="95" w:type="dxa"/>
            <w:tcBorders/>
            <w:shd w:fill="CCEEFF" w:val="clear"/>
            <w:vAlign w:val="center"/>
          </w:tcPr>
          <w:p>
            <w:pPr>
              <w:pStyle w:val="TableContents"/>
              <w:bidi w:val="0"/>
              <w:spacing w:before="0" w:after="283"/>
              <w:ind w:left="0" w:right="0" w:hanging="202"/>
              <w:jc w:val="left"/>
              <w:rPr>
                <w:b/>
                <w:sz w:val="20"/>
              </w:rPr>
            </w:pPr>
            <w:r>
              <w:rPr>
                <w:b/>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Income/(Loss)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271,654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(442,588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(2,998,790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(434,733</w:t>
            </w:r>
          </w:p>
        </w:tc>
        <w:tc>
          <w:tcPr>
            <w:tcW w:w="95" w:type="dxa"/>
            <w:tcBorders/>
            <w:shd w:fill="CCEEFF" w:val="clear"/>
            <w:vAlign w:val="center"/>
          </w:tcPr>
          <w:p>
            <w:pPr>
              <w:pStyle w:val="TableContents"/>
              <w:bidi w:val="0"/>
              <w:spacing w:before="0" w:after="283"/>
              <w:ind w:left="0" w:right="0" w:hanging="202"/>
              <w:jc w:val="left"/>
              <w:rPr>
                <w:sz w:val="20"/>
              </w:rPr>
            </w:pPr>
            <w:r>
              <w:rPr>
                <w:sz w:val="20"/>
              </w:rPr>
              <w:t>)</w:t>
            </w:r>
          </w:p>
        </w:tc>
      </w:tr>
      <w:tr>
        <w:trPr/>
        <w:tc>
          <w:tcPr>
            <w:tcW w:w="4570" w:type="dxa"/>
            <w:tcBorders/>
            <w:shd w:fill="FFFFFF" w:val="clear"/>
            <w:vAlign w:val="center"/>
          </w:tcPr>
          <w:p>
            <w:pPr>
              <w:pStyle w:val="TableContents"/>
              <w:bidi w:val="0"/>
              <w:spacing w:before="0" w:after="283"/>
              <w:jc w:val="left"/>
              <w:rPr>
                <w:sz w:val="20"/>
              </w:rPr>
            </w:pPr>
            <w:r>
              <w:rPr>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367,639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254,200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168,046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24,362</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both"/>
              <w:rPr>
                <w:b/>
                <w:sz w:val="20"/>
              </w:rPr>
            </w:pPr>
            <w:r>
              <w:rPr>
                <w:b/>
                <w:sz w:val="20"/>
              </w:rPr>
              <w:t>Non-GAAP income/(loss)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639,293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(188,388</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(2,830,744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(410,371</w:t>
            </w:r>
          </w:p>
        </w:tc>
        <w:tc>
          <w:tcPr>
            <w:tcW w:w="95" w:type="dxa"/>
            <w:tcBorders/>
            <w:shd w:fill="CCEEFF" w:val="clear"/>
            <w:vAlign w:val="center"/>
          </w:tcPr>
          <w:p>
            <w:pPr>
              <w:pStyle w:val="TableContents"/>
              <w:bidi w:val="0"/>
              <w:spacing w:before="0" w:after="283"/>
              <w:ind w:left="0" w:right="0" w:hanging="202"/>
              <w:jc w:val="left"/>
              <w:rPr>
                <w:b/>
                <w:sz w:val="20"/>
              </w:rPr>
            </w:pPr>
            <w:r>
              <w:rPr>
                <w:b/>
                <w:sz w:val="20"/>
              </w:rPr>
              <w:t>)</w:t>
            </w:r>
          </w:p>
        </w:tc>
      </w:tr>
      <w:tr>
        <w:trPr/>
        <w:tc>
          <w:tcPr>
            <w:tcW w:w="45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both"/>
              <w:rPr>
                <w:sz w:val="20"/>
              </w:rPr>
            </w:pPr>
            <w:r>
              <w:rPr>
                <w:sz w:val="20"/>
              </w:rPr>
              <w:t>Net income/(loss)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646,645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20,243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(2,276,032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(329,954</w:t>
            </w:r>
          </w:p>
        </w:tc>
        <w:tc>
          <w:tcPr>
            <w:tcW w:w="95" w:type="dxa"/>
            <w:tcBorders/>
            <w:shd w:fill="CCEEFF" w:val="clear"/>
            <w:vAlign w:val="center"/>
          </w:tcPr>
          <w:p>
            <w:pPr>
              <w:pStyle w:val="TableContents"/>
              <w:bidi w:val="0"/>
              <w:spacing w:before="0" w:after="283"/>
              <w:ind w:left="0" w:right="0" w:hanging="202"/>
              <w:jc w:val="left"/>
              <w:rPr>
                <w:sz w:val="20"/>
              </w:rPr>
            </w:pPr>
            <w:r>
              <w:rPr>
                <w:sz w:val="20"/>
              </w:rPr>
              <w:t>)</w:t>
            </w:r>
          </w:p>
        </w:tc>
      </w:tr>
      <w:tr>
        <w:trPr/>
        <w:tc>
          <w:tcPr>
            <w:tcW w:w="4570" w:type="dxa"/>
            <w:tcBorders/>
            <w:shd w:fill="FFFFFF" w:val="clear"/>
            <w:vAlign w:val="center"/>
          </w:tcPr>
          <w:p>
            <w:pPr>
              <w:pStyle w:val="TableContents"/>
              <w:bidi w:val="0"/>
              <w:spacing w:before="0" w:after="283"/>
              <w:jc w:val="left"/>
              <w:rPr>
                <w:sz w:val="20"/>
              </w:rPr>
            </w:pPr>
            <w:r>
              <w:rPr>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367,639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254,200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168,046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24,362</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b/>
                <w:sz w:val="20"/>
              </w:rPr>
            </w:pPr>
            <w:r>
              <w:rPr>
                <w:b/>
                <w:sz w:val="20"/>
              </w:rPr>
              <w:t>Non-GAAP net income/(loss)</w:t>
            </w:r>
            <w:r>
              <w:rPr>
                <w:b/>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1,014,284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274,443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(2,107,986</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(305,592</w:t>
            </w:r>
          </w:p>
        </w:tc>
        <w:tc>
          <w:tcPr>
            <w:tcW w:w="95" w:type="dxa"/>
            <w:tcBorders/>
            <w:shd w:fill="CCEEFF" w:val="clear"/>
            <w:vAlign w:val="center"/>
          </w:tcPr>
          <w:p>
            <w:pPr>
              <w:pStyle w:val="TableContents"/>
              <w:bidi w:val="0"/>
              <w:spacing w:before="0" w:after="283"/>
              <w:ind w:left="0" w:right="0" w:hanging="202"/>
              <w:jc w:val="left"/>
              <w:rPr>
                <w:b/>
                <w:sz w:val="20"/>
              </w:rPr>
            </w:pPr>
            <w:r>
              <w:rPr>
                <w:b/>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Net income/(loss) attributable to ordinary shareholders of Li Auto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650,324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6,519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(2,289,531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(331,911</w:t>
            </w:r>
          </w:p>
        </w:tc>
        <w:tc>
          <w:tcPr>
            <w:tcW w:w="95" w:type="dxa"/>
            <w:tcBorders/>
            <w:shd w:fill="CCEEFF" w:val="clear"/>
            <w:vAlign w:val="center"/>
          </w:tcPr>
          <w:p>
            <w:pPr>
              <w:pStyle w:val="TableContents"/>
              <w:bidi w:val="0"/>
              <w:spacing w:before="0" w:after="283"/>
              <w:ind w:left="0" w:right="0" w:hanging="202"/>
              <w:jc w:val="left"/>
              <w:rPr>
                <w:sz w:val="20"/>
              </w:rPr>
            </w:pPr>
            <w:r>
              <w:rPr>
                <w:sz w:val="20"/>
              </w:rPr>
              <w:t>)</w:t>
            </w:r>
          </w:p>
        </w:tc>
      </w:tr>
      <w:tr>
        <w:trPr/>
        <w:tc>
          <w:tcPr>
            <w:tcW w:w="4570" w:type="dxa"/>
            <w:tcBorders/>
            <w:shd w:fill="FFFFFF" w:val="clear"/>
            <w:vAlign w:val="center"/>
          </w:tcPr>
          <w:p>
            <w:pPr>
              <w:pStyle w:val="TableContents"/>
              <w:bidi w:val="0"/>
              <w:spacing w:before="0" w:after="283"/>
              <w:jc w:val="left"/>
              <w:rPr>
                <w:sz w:val="20"/>
              </w:rPr>
            </w:pPr>
            <w:r>
              <w:rPr>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367,639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254,200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168,046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24,362</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b/>
                <w:sz w:val="20"/>
              </w:rPr>
            </w:pPr>
            <w:r>
              <w:rPr>
                <w:b/>
                <w:sz w:val="20"/>
              </w:rPr>
              <w:t>Non-GAAP net income/(loss) attributable to ordinary shareholders of Li Auto Inc.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1,017,963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260,719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(2,121,485</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(307,549</w:t>
            </w:r>
          </w:p>
        </w:tc>
        <w:tc>
          <w:tcPr>
            <w:tcW w:w="95" w:type="dxa"/>
            <w:tcBorders/>
            <w:shd w:fill="CCEEFF" w:val="clear"/>
            <w:vAlign w:val="center"/>
          </w:tcPr>
          <w:p>
            <w:pPr>
              <w:pStyle w:val="TableContents"/>
              <w:bidi w:val="0"/>
              <w:spacing w:before="0" w:after="283"/>
              <w:ind w:left="0" w:right="0" w:hanging="202"/>
              <w:jc w:val="left"/>
              <w:rPr>
                <w:b/>
                <w:sz w:val="20"/>
              </w:rPr>
            </w:pPr>
            <w:r>
              <w:rPr>
                <w:b/>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b/>
                <w:sz w:val="20"/>
              </w:rPr>
            </w:pPr>
            <w:r>
              <w:rPr>
                <w:b/>
                <w:sz w:val="20"/>
              </w:rPr>
              <w:t>Weighted average number of ADSs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4570"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1,004,099,494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1,010,547,649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1,013,814,503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1,013,814,503</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1,069,104,610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1,041,928,950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1,013,814,503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1,013,814,503</w:t>
            </w:r>
          </w:p>
        </w:tc>
        <w:tc>
          <w:tcPr>
            <w:tcW w:w="95" w:type="dxa"/>
            <w:tcBorders/>
            <w:shd w:fill="CCEEFF" w:val="clear"/>
            <w:vAlign w:val="center"/>
          </w:tcPr>
          <w:p>
            <w:pPr>
              <w:pStyle w:val="TableContents"/>
              <w:bidi w:val="0"/>
              <w:spacing w:before="0" w:after="283"/>
              <w:ind w:left="0" w:right="0" w:hanging="202"/>
              <w:jc w:val="left"/>
              <w:rPr/>
            </w:pPr>
            <w:r>
              <w:rPr/>
              <w:t> </w:t>
            </w:r>
          </w:p>
        </w:tc>
      </w:tr>
      <w:tr>
        <w:trPr/>
        <w:tc>
          <w:tcPr>
            <w:tcW w:w="4570" w:type="dxa"/>
            <w:tcBorders/>
            <w:shd w:fill="FFFFFF" w:val="clear"/>
            <w:vAlign w:val="center"/>
          </w:tcPr>
          <w:p>
            <w:pPr>
              <w:pStyle w:val="TableContents"/>
              <w:bidi w:val="0"/>
              <w:spacing w:before="0" w:after="283"/>
              <w:jc w:val="left"/>
              <w:rPr>
                <w:b/>
                <w:sz w:val="20"/>
              </w:rPr>
            </w:pPr>
            <w:r>
              <w:rPr>
                <w:b/>
                <w:sz w:val="20"/>
              </w:rPr>
              <w:t>Non-GAAP net earnings/(loss) per ADS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(2.09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(0.30</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4570"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(2.09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(0.30</w:t>
            </w:r>
          </w:p>
        </w:tc>
        <w:tc>
          <w:tcPr>
            <w:tcW w:w="95" w:type="dxa"/>
            <w:tcBorders/>
            <w:shd w:fill="FFFFFF" w:val="clear"/>
            <w:vAlign w:val="center"/>
          </w:tcPr>
          <w:p>
            <w:pPr>
              <w:pStyle w:val="TableContents"/>
              <w:bidi w:val="0"/>
              <w:spacing w:before="0" w:after="283"/>
              <w:ind w:left="0" w:right="0" w:hanging="161"/>
              <w:jc w:val="left"/>
              <w:rPr>
                <w:sz w:val="20"/>
              </w:rPr>
            </w:pPr>
            <w:r>
              <w:rPr>
                <w:sz w:val="20"/>
              </w:rPr>
              <w:t>)</w:t>
            </w:r>
          </w:p>
        </w:tc>
      </w:tr>
      <w:tr>
        <w:trPr/>
        <w:tc>
          <w:tcPr>
            <w:tcW w:w="4570" w:type="dxa"/>
            <w:tcBorders/>
            <w:shd w:fill="CCEEFF" w:val="clear"/>
            <w:vAlign w:val="center"/>
          </w:tcPr>
          <w:p>
            <w:pPr>
              <w:pStyle w:val="TableContents"/>
              <w:bidi w:val="0"/>
              <w:spacing w:before="0" w:after="283"/>
              <w:jc w:val="left"/>
              <w:rPr>
                <w:b/>
                <w:sz w:val="20"/>
              </w:rPr>
            </w:pPr>
            <w:r>
              <w:rPr>
                <w:b/>
                <w:sz w:val="20"/>
              </w:rPr>
              <w:t>Weighted average number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4570"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2,008,198,987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2,021,095,298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2,027,629,006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2,027,629,006</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2,138,209,219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2,083,857,900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2,027,629,006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2,027,629,006</w:t>
            </w:r>
          </w:p>
        </w:tc>
        <w:tc>
          <w:tcPr>
            <w:tcW w:w="95" w:type="dxa"/>
            <w:tcBorders/>
            <w:shd w:fill="CCEEFF" w:val="clear"/>
            <w:vAlign w:val="center"/>
          </w:tcPr>
          <w:p>
            <w:pPr>
              <w:pStyle w:val="TableContents"/>
              <w:bidi w:val="0"/>
              <w:spacing w:before="0" w:after="283"/>
              <w:ind w:left="0" w:right="0" w:hanging="202"/>
              <w:jc w:val="left"/>
              <w:rPr/>
            </w:pPr>
            <w:r>
              <w:rPr/>
              <w:t> </w:t>
            </w:r>
          </w:p>
        </w:tc>
      </w:tr>
      <w:tr>
        <w:trPr/>
        <w:tc>
          <w:tcPr>
            <w:tcW w:w="4570" w:type="dxa"/>
            <w:tcBorders/>
            <w:shd w:fill="FFFFFF" w:val="clear"/>
            <w:vAlign w:val="center"/>
          </w:tcPr>
          <w:p>
            <w:pPr>
              <w:pStyle w:val="TableContents"/>
              <w:bidi w:val="0"/>
              <w:spacing w:before="0" w:after="283"/>
              <w:jc w:val="left"/>
              <w:rPr>
                <w:b/>
                <w:sz w:val="20"/>
              </w:rPr>
            </w:pPr>
            <w:r>
              <w:rPr>
                <w:b/>
                <w:sz w:val="20"/>
              </w:rPr>
              <w:t>Non-GAAP net earnings/(loss)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4570"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(1.05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(0.15</w:t>
            </w:r>
          </w:p>
        </w:tc>
        <w:tc>
          <w:tcPr>
            <w:tcW w:w="95"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4570"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(1.05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(0.15</w:t>
            </w:r>
          </w:p>
        </w:tc>
        <w:tc>
          <w:tcPr>
            <w:tcW w:w="9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Non-GAAP items have no tax impact for all the periods presented.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5426</Words>
  <Characters>30516</Characters>
  <CharactersWithSpaces>36988</CharactersWithSpaces>
  <Paragraphs>3105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