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289560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124460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138430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June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001-39407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134620</wp:posOffset>
            </wp:positionV>
            <wp:extent cx="1789430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Li Auto Inc.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(Registrant’s Name)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124460</wp:posOffset>
            </wp:positionV>
            <wp:extent cx="1789430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11 Wenliang Street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Shunyi District, Beijing 101399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125730</wp:posOffset>
            </wp:positionV>
            <wp:extent cx="1789430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80"/>
        <w:spacing w:after="0" w:line="138" w:lineRule="exact"/>
        <w:tabs>
          <w:tab w:leader="none" w:pos="57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ab/>
        <w:t xml:space="preserve">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149860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167640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498475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651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340" w:type="dxa"/>
            <w:vAlign w:val="bottom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INDEX</w:t>
            </w:r>
          </w:p>
        </w:tc>
      </w:tr>
      <w:tr>
        <w:trPr>
          <w:trHeight w:val="298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auto"/>
            </w:tcBorders>
          </w:tcPr>
          <w:p>
            <w:pPr>
              <w:ind w:left="2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21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2, 2026</w:t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2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3, 2026</w:t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4, 2026</w:t>
            </w:r>
          </w:p>
        </w:tc>
        <w:tc>
          <w:tcPr>
            <w:tcW w:w="7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840" w:type="dxa"/>
            <w:vAlign w:val="bottom"/>
            <w:gridSpan w:val="2"/>
          </w:tcPr>
          <w:p>
            <w:pPr>
              <w:jc w:val="center"/>
              <w:ind w:left="55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4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 dated June 5, 2026</w:t>
            </w:r>
          </w:p>
        </w:tc>
      </w:tr>
      <w:tr>
        <w:trPr>
          <w:trHeight w:val="473"/>
        </w:trPr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Li Auto Inc.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8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Tie Li</w:t>
            </w:r>
          </w:p>
        </w:tc>
      </w:tr>
      <w:tr>
        <w:trPr>
          <w:trHeight w:val="126"/>
        </w:trPr>
        <w:tc>
          <w:tcPr>
            <w:tcW w:w="4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9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Tie Li</w:t>
            </w:r>
          </w:p>
        </w:tc>
      </w:tr>
      <w:tr>
        <w:trPr>
          <w:trHeight w:val="160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Director and 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8,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2026-06-08T05:24:44Z</dcterms:created>
  <dcterms:modified xsi:type="dcterms:W3CDTF">2026-06-08T05:24:44Z</dcterms:modified>
</cp:coreProperties>
</file>