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-605155</wp:posOffset>
            </wp:positionV>
            <wp:extent cx="57150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3914140</wp:posOffset>
            </wp:positionH>
            <wp:positionV relativeFrom="paragraph">
              <wp:posOffset>-605155</wp:posOffset>
            </wp:positionV>
            <wp:extent cx="57150" cy="618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-1713865</wp:posOffset>
            </wp:positionH>
            <wp:positionV relativeFrom="paragraph">
              <wp:posOffset>642620</wp:posOffset>
            </wp:positionV>
            <wp:extent cx="6998335" cy="41363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413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6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 Tie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 WENLIANG STREET, SHUNYI DISTRICT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Li Auto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LI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720" w:firstLine="3"/>
        <w:spacing w:after="0" w:line="284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Financial Officer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40"/>
            <w:col w:w="3123" w:space="720"/>
            <w:col w:w="3337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BEIJING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F4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101399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9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1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Share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American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5,000,000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14.38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5,000,000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depositary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5,000,000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0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shares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-1711960</wp:posOffset>
            </wp:positionV>
            <wp:extent cx="28575" cy="17170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1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options will vest upon the first achievement of certain tiered targets. See Exhibit 99.1 to the issuer's current report on Form 6-K dated June 16, 2026 for further details.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American depositary share represents two Class A ordinary shares.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Tie Li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06/17/2026</w:t>
            </w:r>
          </w:p>
        </w:tc>
      </w:tr>
      <w:tr>
        <w:trPr>
          <w:trHeight w:val="20"/>
        </w:trPr>
        <w:tc>
          <w:tcPr>
            <w:tcW w:w="5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6264" TargetMode="External"/><Relationship Id="rId14" Type="http://schemas.openxmlformats.org/officeDocument/2006/relationships/hyperlink" Target="http://www.sec.gov/cgi-bin/browse-edgar?action=getcompany&amp;CIK=00017917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2026-06-17T08:05:25Z</dcterms:created>
  <dcterms:modified xsi:type="dcterms:W3CDTF">2026-06-17T08:05:25Z</dcterms:modified>
</cp:coreProperties>
</file>