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8397d1_6k.htm"/>
      <w:bookmarkStart w:id="1" w:name="kstm261839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28" w:type="dxa"/>
          <w:right w:w="0" w:type="dxa"/>
        </w:tblCellMar>
      </w:tblPr>
      <w:tblGrid>
        <w:gridCol w:w="1205"/>
        <w:gridCol w:w="60"/>
        <w:gridCol w:w="3980"/>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398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18397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18397d1_ex99-1.htm">
              <w:r>
                <w:rPr>
                  <w:rStyle w:val="InternetLink"/>
                  <w:rFonts w:ascii="Times New Roman;Times;Serif" w:hAnsi="Times New Roman;Times;Serif"/>
                  <w:sz w:val="20"/>
                </w:rPr>
                <w:t>Next Day Disclosure Return dated June 16, 2026</w:t>
              </w:r>
            </w:hyperlink>
          </w:p>
        </w:tc>
      </w:tr>
      <w:tr>
        <w:trPr/>
        <w:tc>
          <w:tcPr>
            <w:tcW w:w="1205" w:type="dxa"/>
            <w:tcBorders/>
            <w:tcMar>
              <w:bottom w:w="0" w:type="dxa"/>
            </w:tcMar>
            <w:vAlign w:val="center"/>
          </w:tcPr>
          <w:p>
            <w:pPr>
              <w:pStyle w:val="TableContents"/>
              <w:bidi w:val="0"/>
              <w:spacing w:before="0" w:after="283"/>
              <w:jc w:val="center"/>
              <w:rPr/>
            </w:pPr>
            <w:hyperlink w:anchor="tm2618397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18397d1_ex99-2.htm">
              <w:r>
                <w:rPr>
                  <w:rStyle w:val="InternetLink"/>
                  <w:rFonts w:ascii="Times New Roman;Times;Serif" w:hAnsi="Times New Roman;Times;Serif"/>
                  <w:sz w:val="20"/>
                </w:rPr>
                <w:t>Next Day Disclosure Return dated June 17, 2026</w:t>
              </w:r>
            </w:hyperlink>
          </w:p>
        </w:tc>
      </w:tr>
      <w:tr>
        <w:trPr/>
        <w:tc>
          <w:tcPr>
            <w:tcW w:w="1205" w:type="dxa"/>
            <w:tcBorders/>
            <w:tcMar>
              <w:bottom w:w="0" w:type="dxa"/>
            </w:tcMar>
            <w:vAlign w:val="center"/>
          </w:tcPr>
          <w:p>
            <w:pPr>
              <w:pStyle w:val="TableContents"/>
              <w:bidi w:val="0"/>
              <w:spacing w:before="0" w:after="283"/>
              <w:jc w:val="center"/>
              <w:rPr/>
            </w:pPr>
            <w:hyperlink w:anchor="tm2618397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18397d1_ex99-3.htm">
              <w:r>
                <w:rPr>
                  <w:rStyle w:val="InternetLink"/>
                  <w:rFonts w:ascii="Times New Roman;Times;Serif" w:hAnsi="Times New Roman;Times;Serif"/>
                  <w:sz w:val="20"/>
                </w:rPr>
                <w:t>Next Day Disclosure Return dated June 18, 2026</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630" w:type="dxa"/>
        <w:jc w:val="left"/>
        <w:tblInd w:w="0" w:type="dxa"/>
        <w:tblLayout w:type="fixed"/>
        <w:tblCellMar>
          <w:top w:w="0" w:type="dxa"/>
          <w:left w:w="0" w:type="dxa"/>
          <w:bottom w:w="0" w:type="dxa"/>
          <w:right w:w="0" w:type="dxa"/>
        </w:tblCellMar>
      </w:tblPr>
      <w:tblGrid>
        <w:gridCol w:w="75"/>
        <w:gridCol w:w="530"/>
        <w:gridCol w:w="80"/>
        <w:gridCol w:w="2945"/>
      </w:tblGrid>
      <w:tr>
        <w:trPr/>
        <w:tc>
          <w:tcPr>
            <w:tcW w:w="75" w:type="dxa"/>
            <w:tcBorders/>
            <w:vAlign w:val="center"/>
          </w:tcPr>
          <w:p>
            <w:pPr>
              <w:pStyle w:val="TableContents"/>
              <w:bidi w:val="0"/>
              <w:spacing w:before="0" w:after="283"/>
              <w:jc w:val="left"/>
              <w:rPr/>
            </w:pPr>
            <w:r>
              <w:rPr/>
              <w:t> </w:t>
            </w:r>
          </w:p>
        </w:tc>
        <w:tc>
          <w:tcPr>
            <w:tcW w:w="3555" w:type="dxa"/>
            <w:gridSpan w:val="3"/>
            <w:tcBorders/>
            <w:vAlign w:val="center"/>
          </w:tcPr>
          <w:p>
            <w:pPr>
              <w:pStyle w:val="TableContents"/>
              <w:bidi w:val="0"/>
              <w:spacing w:before="0" w:after="283"/>
              <w:jc w:val="left"/>
              <w:rPr>
                <w:b/>
              </w:rPr>
            </w:pPr>
            <w:r>
              <w:rPr>
                <w:b/>
              </w:rPr>
              <w:t>Li Auto Inc.</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80" w:type="dxa"/>
            <w:tcBorders/>
            <w:vAlign w:val="center"/>
          </w:tcPr>
          <w:p>
            <w:pPr>
              <w:pStyle w:val="TableContents"/>
              <w:bidi w:val="0"/>
              <w:spacing w:before="0" w:after="283"/>
              <w:jc w:val="left"/>
              <w:rPr/>
            </w:pPr>
            <w:r>
              <w:rPr/>
              <w:t> </w:t>
            </w:r>
          </w:p>
        </w:tc>
        <w:tc>
          <w:tcPr>
            <w:tcW w:w="2945" w:type="dxa"/>
            <w:tcBorders>
              <w:bottom w:val="single" w:sz="8" w:space="0" w:color="000000"/>
            </w:tcBorders>
            <w:tcMar>
              <w:bottom w:w="28" w:type="dxa"/>
            </w:tcMar>
            <w:vAlign w:val="center"/>
          </w:tcPr>
          <w:p>
            <w:pPr>
              <w:pStyle w:val="TableContents"/>
              <w:bidi w:val="0"/>
              <w:spacing w:before="0" w:after="283"/>
              <w:jc w:val="left"/>
              <w:rPr/>
            </w:pPr>
            <w:r>
              <w:rPr/>
              <w:t>/s/ Tie Li</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 Li</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2" w:name="tm2618397d1_ex99-1.htm"/>
      <w:bookmarkStart w:id="3" w:name="kstm2618397d1_ex991"/>
      <w:bookmarkEnd w:id="2"/>
      <w:bookmarkEnd w:id="3"/>
      <w:r>
        <w:rPr>
          <w:rFonts w:ascii="Times New Roman;Times;Serif" w:hAnsi="Times New Roman;Times;Serif"/>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16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12 June 2026 1,771,679,141 36,744,528 1,808,423,669 1). Repurchase of shares (shares held as treasury shares) Date of changes 16 June 2026 -1,494,400 0.0843 % 1,494,400 HKD 56.2146 Closing balance as at (Notes 5 and 6) 16 June 2026 1,770,184,741 38,238,928 1,808,423,669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16 June 2026 1,494,400 On the Exchange HKD 57.1 HKD 55.45 HKD 84,007,098.24 Total number of shares repurchased 1,494,400 Aggregate price paid $ HKD 84,007,098.24 Number of shares repurchased for cancellation 0 Number of shares repurchased for holding as treasury shares 1,494,400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18,647,588 4). As a % of number of issued shares (excluding treasury shares) as at the date of the resolution granting the repurchase mandate (a) x 100 / number of issued shares (excluding treasury shares) as at the date of the resolution granting the repurchase mandate 0.8702 % 5). Moratorium period for any issue of new shares, or sale or transfer of treasury shares after the share repurchase(s) set out in Part A (Note 2) Up to 16 July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ind w:left="0" w:right="0" w:hanging="0"/>
        <w:jc w:val="right"/>
        <w:rPr>
          <w:rFonts w:ascii="Times New Roman;Times;Serif" w:hAnsi="Times New Roman;Times;Serif"/>
          <w:b/>
          <w:sz w:val="20"/>
        </w:rPr>
      </w:pPr>
      <w:bookmarkStart w:id="4" w:name="tm2618397d1_ex99-2.htm"/>
      <w:bookmarkStart w:id="5" w:name="kstm2618397d1_ex992"/>
      <w:bookmarkEnd w:id="4"/>
      <w:bookmarkEnd w:id="5"/>
      <w:r>
        <w:rPr>
          <w:rFonts w:ascii="Times New Roman;Times;Serif" w:hAnsi="Times New Roman;Times;Serif"/>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17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16 June 2026 1,770,184,741 38,238,928 1,808,423,669 1). Repurchase of shares (shares held as treasury shares) Date of changes 17 June 2026 -1,931,700 0.1091 % 1,931,700 HKD 54.0217 Closing balance as at (Notes 5 and 6) 17 June 2026 1,768,253,041 40,170,628 1,808,423,669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17 June 2026 1,931,700 On the Exchange HKD 54.7 HKD 53.7 HKD 104,353,717.89 Total number of shares repurchased 1,931,700 Aggregate price paid $ HKD 104,353,717.89 Number of shares repurchased for cancellation 0 Number of shares repurchased for holding as treasury shares 1,931,700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20,579,288 4). As a % of number of issued shares (excluding treasury shares) as at the date of the resolution granting the repurchase mandate (a) x 100 / number of issued shares (excluding treasury shares) as at the date of the resolution granting the repurchase mandate 0.9604 % 5). Moratorium period for any issue of new shares, or sale or transfer of treasury shares after the share repurchase(s) set out in Part A (Note 2) Up to 17 July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ind w:left="0" w:right="0" w:hanging="0"/>
        <w:jc w:val="right"/>
        <w:rPr>
          <w:rFonts w:ascii="Times New Roman;Times;Serif" w:hAnsi="Times New Roman;Times;Serif"/>
          <w:b/>
          <w:sz w:val="20"/>
        </w:rPr>
      </w:pPr>
      <w:bookmarkStart w:id="6" w:name="tm2618397d1_ex99-3.htm"/>
      <w:bookmarkStart w:id="7" w:name="kstm2618397d1_ex993"/>
      <w:bookmarkEnd w:id="6"/>
      <w:bookmarkEnd w:id="7"/>
      <w:r>
        <w:rPr>
          <w:rFonts w:ascii="Times New Roman;Times;Serif" w:hAnsi="Times New Roman;Times;Serif"/>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18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17 June 2026 1,768,253,041 40,170,628 1,808,423,669 1). Repurchase of shares (shares held as treasury shares) Date of changes 18 June 2026 -1,337,200 0.0756 % 1,337,200 HKD 52.3171 Closing balance as at (Notes 5 and 6) 18 June 2026 1,766,915,841 41,507,828 1,808,423,669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18 June 2026 1,337,200 On the Exchange HKD 52.9 HKD 51.75 HKD 69,958,426.12 Total number of shares repurchased 1,337,200 Aggregate price paid $ HKD 69,958,426.12 Number of shares repurchased for cancellation 0 Number of shares repurchased for holding as treasury shares 1,337,200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21,916,488 4). As a % of number of issued shares (excluding treasury shares) as at the date of the resolution granting the repurchase mandate (a) x 100 / number of issued shares (excluding treasury shares) as at the date of the resolution granting the repurchase mandate 1.0228 % 5). Moratorium period for any issue of new shares, or sale or transfer of treasury shares after the share repurchase(s) set out in Part A (Note 2) Up to 18 July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7.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8.jpeg"/><Relationship Id="rId13" Type="http://schemas.openxmlformats.org/officeDocument/2006/relationships/image" Target="media/image2.jpeg"/><Relationship Id="rId14" Type="http://schemas.openxmlformats.org/officeDocument/2006/relationships/image" Target="media/image9.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4170</Words>
  <Characters>20553</Characters>
  <CharactersWithSpaces>24735</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