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99"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165100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ind w:left="388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May 2026</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001-39407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32"/>
          <w:szCs w:val="32"/>
          <w:b w:val="1"/>
          <w:bCs w:val="1"/>
          <w:color w:val="auto"/>
        </w:rPr>
        <w:t>Li Auto Inc.</w:t>
      </w:r>
    </w:p>
    <w:p>
      <w:pPr>
        <w:spacing w:after="0" w:line="45"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18"/>
          <w:szCs w:val="18"/>
          <w:color w:val="auto"/>
        </w:rPr>
        <w:t>(Registrant’s Name)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11 Wenliang Street</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Shunyi District, Beijing 101399</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People’s Republic of China</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84" w:lineRule="exact"/>
        <w:rPr>
          <w:sz w:val="24"/>
          <w:szCs w:val="24"/>
          <w:color w:val="auto"/>
        </w:rPr>
      </w:pPr>
    </w:p>
    <w:p>
      <w:pPr>
        <w:ind w:left="4580"/>
        <w:spacing w:after="0" w:line="207" w:lineRule="exact"/>
        <w:rPr>
          <w:sz w:val="20"/>
          <w:szCs w:val="20"/>
          <w:color w:val="auto"/>
        </w:rPr>
      </w:pPr>
      <w:r>
        <w:rPr>
          <w:rFonts w:ascii="Times New Roman" w:cs="Times New Roman" w:eastAsia="Times New Roman" w:hAnsi="Times New Roman"/>
          <w:sz w:val="18"/>
          <w:szCs w:val="18"/>
          <w:color w:val="auto"/>
        </w:rPr>
        <w:t>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72"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80" w:type="dxa"/>
            <w:vAlign w:val="bottom"/>
            <w:gridSpan w:val="2"/>
          </w:tcPr>
          <w:p>
            <w:pPr>
              <w:ind w:left="356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9"/>
        </w:trPr>
        <w:tc>
          <w:tcPr>
            <w:tcW w:w="136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Exhibit No.</w:t>
            </w:r>
          </w:p>
        </w:tc>
        <w:tc>
          <w:tcPr>
            <w:tcW w:w="9880" w:type="dxa"/>
            <w:vAlign w:val="bottom"/>
            <w:gridSpan w:val="2"/>
          </w:tcPr>
          <w:p>
            <w:pPr>
              <w:ind w:left="45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5"/>
        </w:trPr>
        <w:tc>
          <w:tcPr>
            <w:tcW w:w="1140" w:type="dxa"/>
            <w:vAlign w:val="bottom"/>
            <w:tcBorders>
              <w:top w:val="single" w:sz="8" w:color="auto"/>
            </w:tcBorders>
            <w:gridSpan w:val="3"/>
          </w:tcPr>
          <w:p>
            <w:pPr>
              <w:jc w:val="center"/>
              <w:ind w:right="380"/>
              <w:spacing w:after="0" w:line="176"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220" w:type="dxa"/>
            <w:vAlign w:val="bottom"/>
          </w:tcPr>
          <w:p>
            <w:pPr>
              <w:spacing w:after="0"/>
              <w:rPr>
                <w:sz w:val="15"/>
                <w:szCs w:val="15"/>
                <w:color w:val="auto"/>
              </w:rPr>
            </w:pPr>
          </w:p>
        </w:tc>
        <w:tc>
          <w:tcPr>
            <w:tcW w:w="9880" w:type="dxa"/>
            <w:vAlign w:val="bottom"/>
            <w:tcBorders>
              <w:top w:val="single" w:sz="8" w:color="auto"/>
            </w:tcBorders>
            <w:gridSpan w:val="2"/>
          </w:tcPr>
          <w:p>
            <w:pPr>
              <w:spacing w:after="0" w:line="176" w:lineRule="exact"/>
              <w:rPr>
                <w:sz w:val="20"/>
                <w:szCs w:val="20"/>
                <w:color w:val="auto"/>
              </w:rPr>
            </w:pPr>
            <w:r>
              <w:rPr>
                <w:rFonts w:ascii="Times New Roman" w:cs="Times New Roman" w:eastAsia="Times New Roman" w:hAnsi="Times New Roman"/>
                <w:sz w:val="18"/>
                <w:szCs w:val="18"/>
                <w:color w:val="0000EE"/>
              </w:rPr>
              <w:t>Press Release—Li Auto Inc. Launches the All-New Li L9, Pioneering Embodied AI in Mobility</w:t>
            </w:r>
          </w:p>
        </w:tc>
      </w:tr>
      <w:tr>
        <w:trPr>
          <w:trHeight w:val="696"/>
        </w:trPr>
        <w:tc>
          <w:tcPr>
            <w:tcW w:w="420" w:type="dxa"/>
            <w:vAlign w:val="bottom"/>
            <w:tcBorders>
              <w:bottom w:val="single" w:sz="8" w:color="auto"/>
            </w:tcBorders>
          </w:tcPr>
          <w:p>
            <w:pPr>
              <w:spacing w:after="0"/>
              <w:rPr>
                <w:sz w:val="24"/>
                <w:szCs w:val="24"/>
                <w:color w:val="auto"/>
              </w:rPr>
            </w:pPr>
          </w:p>
        </w:tc>
        <w:tc>
          <w:tcPr>
            <w:tcW w:w="320" w:type="dxa"/>
            <w:vAlign w:val="bottom"/>
            <w:tcBorders>
              <w:top w:val="single" w:sz="8" w:color="0000EE"/>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920" w:type="dxa"/>
            <w:vAlign w:val="bottom"/>
            <w:tcBorders>
              <w:top w:val="single" w:sz="8" w:color="0000EE"/>
              <w:bottom w:val="single" w:sz="8" w:color="auto"/>
            </w:tcBorders>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Li Auto Inc.</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80" w:type="dxa"/>
            <w:vAlign w:val="bottom"/>
          </w:tcPr>
          <w:p>
            <w:pPr>
              <w:spacing w:after="0"/>
              <w:rPr>
                <w:sz w:val="20"/>
                <w:szCs w:val="20"/>
                <w:color w:val="auto"/>
              </w:rPr>
            </w:pPr>
          </w:p>
        </w:tc>
        <w:tc>
          <w:tcPr>
            <w:tcW w:w="4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Tie Li</w:t>
            </w:r>
          </w:p>
        </w:tc>
      </w:tr>
      <w:tr>
        <w:trPr>
          <w:trHeight w:val="191"/>
        </w:trPr>
        <w:tc>
          <w:tcPr>
            <w:tcW w:w="5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280" w:type="dxa"/>
            <w:vAlign w:val="bottom"/>
          </w:tcPr>
          <w:p>
            <w:pPr>
              <w:jc w:val="right"/>
              <w:ind w:right="70"/>
              <w:spacing w:after="0" w:line="191" w:lineRule="exact"/>
              <w:rPr>
                <w:sz w:val="20"/>
                <w:szCs w:val="20"/>
                <w:color w:val="auto"/>
              </w:rPr>
            </w:pPr>
            <w:r>
              <w:rPr>
                <w:rFonts w:ascii="Times New Roman" w:cs="Times New Roman" w:eastAsia="Times New Roman" w:hAnsi="Times New Roman"/>
                <w:sz w:val="18"/>
                <w:szCs w:val="18"/>
                <w:color w:val="auto"/>
              </w:rPr>
              <w:t>:</w:t>
            </w:r>
          </w:p>
        </w:tc>
        <w:tc>
          <w:tcPr>
            <w:tcW w:w="48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Tie Li</w:t>
            </w:r>
          </w:p>
        </w:tc>
      </w:tr>
      <w:tr>
        <w:trPr>
          <w:trHeight w:val="23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Director and Chief Financial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1654175" cy="3600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5417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 Auto Inc. Launches the All-New Li L9, Pioneering Embodied AI in Mobility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15, 2026</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BEIJING, China, May 15, 2026 — Li Auto Inc. (“Li Auto” or the “Company”) (Nasdaq: LI; HKEX: 2015), a leader in China’s new energy vehicle market, today officially launched the all-new Li L9 with deliveries to commence on May 17, 2026. The vehicle is available in Ultra and Livis trims, priced at RMB459,800 and RMB509,800, respectively. For more details on the all-new Li L9, please visit Li Auto’s official website.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Li Auto Inc.</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Li Auto Inc. is a leader in China’s new energy vehicle market. The Company designs, develops, manufactures, and sells premium smart electric vehicles. Its mission is: Be Proactive, Change the World. Through innovations in product, technology, and business model, the Company provides families with safe, convenient, and comfortable products and services. Li Auto is a pioneer in successfully commercializing extended-range electric vehicles in China. While firmly advancing along this technological route, it builds platforms for battery electric vehicles in parallel. The Company leverages technology to create value for users. It concentrates its in-house development efforts on proprietary range extension systems, innovative electric vehicle technologies, and smart vehicle solutions. The Company started volume production in November 2019. Its current model lineup includes a high-tech flagship family MPV, four Li L series extended-range electric SUVs, and two Li i series battery electric SUVs. The Company will continue to expand its product lineup to target a broader user base.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more information, please visit: </w:t>
      </w:r>
      <w:r>
        <w:rPr>
          <w:rFonts w:ascii="Times New Roman" w:cs="Times New Roman" w:eastAsia="Times New Roman" w:hAnsi="Times New Roman"/>
          <w:sz w:val="18"/>
          <w:szCs w:val="18"/>
          <w:i w:val="1"/>
          <w:iCs w:val="1"/>
          <w:color w:val="auto"/>
        </w:rPr>
        <w:t>https://ir.lixiang.com</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22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This press release contains statements that may constitute “forward-looking” statements pursuant to the “safe harbor” provisions of the U.S. Private Securities Litigation Reform Act of 1995. These forward-looking statements can be identified by terminology such as “will,” “expects,” “anticipates,” “aims,” “future,” “intends,” “plans,” “believes,” “estimates,” “targets,” “likely to,” “challenges,” and similar statements. Li Auto may also make written or oral forward-looking statements in its periodic reports to the U.S. Securities and Exchange Commission (the “SEC”) and The Stock Exchange of Hong Kong Limited (the “HKEX”), in its annual report to shareholders, in press releases and other written materials, and in oral statements made by its officers, directors, or employees to third parties. Statements that are not historical facts, including statements about Li Auto’s beliefs, plans,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Li Auto’s strategies, future business development, and financial condition and results of operations; Li Auto’s limited operating history; risks associated with extended-range electric vehicles and high-power charging battery electric vehicles; Li Auto’s ability to develop, manufacture, and deliver vehicles of high quality and appeal to customers; Li Auto’s ability to generate positive cash flow and profits; product defects or any other failure of vehicles to perform as expected; Li Auto’s ability to compete successfully; Li Auto’s ability to build its brand and withstand negative publicity; cancellation of orders for Li Auto’s vehicles; Li Auto’s ability to develop new vehicles; and changes in consumer demand and government incentives, subsidies, or other favorable government policies. Further information regarding these and other risks is included in Li Auto’s filings with the SEC and the HKEX. All information provided in this press release is as of the date of this press release, and Li Auto does not undertake any obligation to update any forward-looking statement, except as required under applicable law.</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investor and media inquiries, please contact: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 Auto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ir@lixiang.com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Christensen Advisory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Roger Hu</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+86-10-5900-1548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Li@christensencomms.com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2026-05-15T07:28:02Z</dcterms:created>
  <dcterms:modified xsi:type="dcterms:W3CDTF">2026-05-15T07:28:02Z</dcterms:modified>
</cp:coreProperties>
</file>