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bdr w:val="single" w:sz="16" w:space="1" w:color="000000"/>
        </w:rPr>
      </w:pPr>
      <w:bookmarkStart w:id="0" w:name="tm2624872d2_6k.htm"/>
      <w:bookmarkStart w:id="1" w:name="kstm2624872d2_6k"/>
      <w:bookmarkEnd w:id="0"/>
      <w:bookmarkEnd w:id="1"/>
      <w:r>
        <w:rPr>
          <w:bdr w:val="single" w:sz="16" w:space="1" w:color="000000"/>
        </w:rPr>
        <w:t> </w:t>
      </w:r>
    </w:p>
    <w:p>
      <w:pPr>
        <w:pStyle w:val="TextBody"/>
        <w:bidi w:val="0"/>
        <w:spacing w:before="0" w:after="283"/>
        <w:jc w:val="left"/>
        <w:rPr/>
      </w:pPr>
      <w:r>
        <w:rPr/>
        <w:t> </w:t>
      </w:r>
    </w:p>
    <w:p>
      <w:pPr>
        <w:pStyle w:val="TextBody"/>
        <w:bidi w:val="0"/>
        <w:spacing w:before="0" w:after="0"/>
        <w:ind w:left="0" w:right="0" w:hanging="0"/>
        <w:jc w:val="center"/>
        <w:rPr>
          <w:rFonts w:ascii="Times New Roman;Times;Serif" w:hAnsi="Times New Roman;Times;Serif"/>
          <w:b/>
          <w:i w:val="false"/>
          <w:caps w:val="false"/>
          <w:smallCaps w:val="false"/>
          <w:sz w:val="28"/>
        </w:rPr>
      </w:pPr>
      <w:r>
        <w:rPr>
          <w:rFonts w:ascii="Times New Roman;Times;Serif" w:hAnsi="Times New Roman;Times;Serif"/>
          <w:b/>
          <w:i w:val="false"/>
          <w:caps w:val="false"/>
          <w:smallCaps w:val="false"/>
          <w:sz w:val="28"/>
        </w:rPr>
        <w:t>UNITED STATES</w:t>
      </w:r>
    </w:p>
    <w:p>
      <w:pPr>
        <w:pStyle w:val="TextBody"/>
        <w:bidi w:val="0"/>
        <w:spacing w:before="0" w:after="0"/>
        <w:ind w:left="0" w:right="0" w:hanging="0"/>
        <w:jc w:val="center"/>
        <w:rPr>
          <w:rFonts w:ascii="Times New Roman;Times;Serif" w:hAnsi="Times New Roman;Times;Serif"/>
          <w:b/>
          <w:i w:val="false"/>
          <w:caps w:val="false"/>
          <w:smallCaps w:val="false"/>
          <w:sz w:val="28"/>
        </w:rPr>
      </w:pPr>
      <w:r>
        <w:rPr>
          <w:rFonts w:ascii="Times New Roman;Times;Serif" w:hAnsi="Times New Roman;Times;Serif"/>
          <w:b/>
          <w:i w:val="false"/>
          <w:caps w:val="false"/>
          <w:smallCaps w:val="false"/>
          <w:sz w:val="28"/>
        </w:rPr>
        <w:t>SECURITIES AND EXCHANGE COMMISSION</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Washington, D.C. 20549</w:t>
      </w:r>
    </w:p>
    <w:p>
      <w:pPr>
        <w:pStyle w:val="TextBody"/>
        <w:bidi w:val="0"/>
        <w:spacing w:before="0" w:after="0"/>
        <w:ind w:left="0" w:right="0" w:hanging="0"/>
        <w:jc w:val="center"/>
        <w:rPr>
          <w:caps w:val="false"/>
          <w:smallCaps w:val="false"/>
        </w:rPr>
      </w:pPr>
      <w:r>
        <w:rPr>
          <w:caps w:val="false"/>
          <w:smallCaps w:val="false"/>
        </w:rPr>
        <w:t> </w:t>
      </w:r>
    </w:p>
    <w:p>
      <w:pPr>
        <w:pStyle w:val="TextBody"/>
        <w:bidi w:val="0"/>
        <w:ind w:left="0" w:right="0" w:hanging="0"/>
        <w:jc w:val="left"/>
        <w:rPr>
          <w:bdr w:val="single" w:sz="8" w:space="1" w:color="000000"/>
        </w:rPr>
      </w:pPr>
      <w:r>
        <w:rPr>
          <w:bdr w:val="single" w:sz="8" w:space="1" w:color="000000"/>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36"/>
        </w:rPr>
      </w:pPr>
      <w:r>
        <w:rPr>
          <w:rFonts w:ascii="Times New Roman;Times;Serif" w:hAnsi="Times New Roman;Times;Serif"/>
          <w:b/>
          <w:i w:val="false"/>
          <w:caps w:val="false"/>
          <w:smallCaps w:val="false"/>
          <w:sz w:val="36"/>
        </w:rPr>
        <w:t>FORM 6-K</w:t>
      </w:r>
    </w:p>
    <w:p>
      <w:pPr>
        <w:pStyle w:val="TextBody"/>
        <w:bidi w:val="0"/>
        <w:spacing w:before="0" w:after="0"/>
        <w:ind w:left="0" w:right="0" w:hanging="0"/>
        <w:jc w:val="center"/>
        <w:rPr>
          <w:caps w:val="false"/>
          <w:smallCaps w:val="false"/>
        </w:rPr>
      </w:pPr>
      <w:r>
        <w:rPr>
          <w:caps w:val="false"/>
          <w:smallCaps w:val="false"/>
        </w:rPr>
        <w:t> </w:t>
      </w:r>
    </w:p>
    <w:p>
      <w:pPr>
        <w:pStyle w:val="TextBody"/>
        <w:bidi w:val="0"/>
        <w:ind w:left="0" w:right="0" w:hanging="0"/>
        <w:jc w:val="left"/>
        <w:rPr>
          <w:bdr w:val="single" w:sz="8" w:space="1" w:color="000000"/>
        </w:rPr>
      </w:pPr>
      <w:r>
        <w:rPr>
          <w:bdr w:val="single" w:sz="8" w:space="1" w:color="000000"/>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REPORT OF FOREIGN PRIVATE ISSUER</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PURSUANT TO RULE 13a-16 OR 15d-16 UNDER</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THE SECURITIES EXCHANGE ACT OF 1934</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For the month of September 2026</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Commission File Number: 001-39407</w:t>
      </w:r>
    </w:p>
    <w:p>
      <w:pPr>
        <w:pStyle w:val="TextBody"/>
        <w:bidi w:val="0"/>
        <w:spacing w:before="0" w:after="0"/>
        <w:ind w:left="0" w:right="0" w:hanging="0"/>
        <w:jc w:val="center"/>
        <w:rPr>
          <w:caps w:val="false"/>
          <w:smallCaps w:val="false"/>
        </w:rPr>
      </w:pPr>
      <w:r>
        <w:rPr>
          <w:caps w:val="false"/>
          <w:smallCaps w:val="false"/>
        </w:rPr>
        <w:t> </w:t>
      </w:r>
    </w:p>
    <w:p>
      <w:pPr>
        <w:pStyle w:val="TextBody"/>
        <w:bidi w:val="0"/>
        <w:ind w:left="0" w:right="0" w:hanging="0"/>
        <w:jc w:val="left"/>
        <w:rPr>
          <w:bdr w:val="single" w:sz="8" w:space="1" w:color="000000"/>
        </w:rPr>
      </w:pPr>
      <w:r>
        <w:rPr>
          <w:bdr w:val="single" w:sz="8" w:space="1" w:color="000000"/>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36"/>
        </w:rPr>
      </w:pPr>
      <w:r>
        <w:rPr>
          <w:rFonts w:ascii="Times New Roman;Times;Serif" w:hAnsi="Times New Roman;Times;Serif"/>
          <w:b/>
          <w:i w:val="false"/>
          <w:caps w:val="false"/>
          <w:smallCaps w:val="false"/>
          <w:sz w:val="36"/>
        </w:rPr>
        <w:t>Li Auto Inc.</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(Registrant’s Name)</w:t>
      </w:r>
    </w:p>
    <w:p>
      <w:pPr>
        <w:pStyle w:val="TextBody"/>
        <w:bidi w:val="0"/>
        <w:spacing w:before="0" w:after="0"/>
        <w:ind w:left="0" w:right="0" w:hanging="0"/>
        <w:jc w:val="center"/>
        <w:rPr>
          <w:caps w:val="false"/>
          <w:smallCaps w:val="false"/>
        </w:rPr>
      </w:pPr>
      <w:r>
        <w:rPr>
          <w:caps w:val="false"/>
          <w:smallCaps w:val="false"/>
        </w:rPr>
        <w:t> </w:t>
      </w:r>
    </w:p>
    <w:p>
      <w:pPr>
        <w:pStyle w:val="TextBody"/>
        <w:bidi w:val="0"/>
        <w:ind w:left="0" w:right="0" w:hanging="0"/>
        <w:jc w:val="left"/>
        <w:rPr>
          <w:bdr w:val="single" w:sz="8" w:space="1" w:color="000000"/>
        </w:rPr>
      </w:pPr>
      <w:r>
        <w:rPr>
          <w:bdr w:val="single" w:sz="8" w:space="1" w:color="000000"/>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11 Wenliang Street</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Shunyi District, Beijing 101399</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People’s Republic of China</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(Address of Principal Executive Offices)</w:t>
      </w:r>
    </w:p>
    <w:p>
      <w:pPr>
        <w:pStyle w:val="TextBody"/>
        <w:bidi w:val="0"/>
        <w:spacing w:before="0" w:after="0"/>
        <w:ind w:left="0" w:right="0" w:hanging="0"/>
        <w:jc w:val="center"/>
        <w:rPr>
          <w:caps w:val="false"/>
          <w:smallCaps w:val="false"/>
        </w:rPr>
      </w:pPr>
      <w:r>
        <w:rPr>
          <w:caps w:val="false"/>
          <w:smallCaps w:val="false"/>
        </w:rPr>
        <w:t> </w:t>
      </w:r>
    </w:p>
    <w:p>
      <w:pPr>
        <w:pStyle w:val="TextBody"/>
        <w:bidi w:val="0"/>
        <w:ind w:left="0" w:right="0" w:hanging="0"/>
        <w:jc w:val="left"/>
        <w:rPr>
          <w:bdr w:val="single" w:sz="8" w:space="1" w:color="000000"/>
        </w:rPr>
      </w:pPr>
      <w:r>
        <w:rPr>
          <w:bdr w:val="single" w:sz="8" w:space="1" w:color="000000"/>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Indicate by check mark whether the registrant files or will file annual reports under cover Form 20-F or Form 40-F.</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Form 20-F ☒      Form 40-F </w:t>
      </w:r>
      <w:r>
        <w:rPr>
          <w:rFonts w:ascii="Wingdings" w:hAnsi="Wingdings"/>
          <w:b w:val="false"/>
          <w:i w:val="false"/>
          <w:caps w:val="false"/>
          <w:smallCaps w:val="false"/>
          <w:sz w:val="20"/>
        </w:rPr>
        <w:t>o</w:t>
      </w:r>
    </w:p>
    <w:p>
      <w:pPr>
        <w:pStyle w:val="TextBody"/>
        <w:bidi w:val="0"/>
        <w:spacing w:before="0" w:after="0"/>
        <w:ind w:left="0" w:right="0" w:hanging="0"/>
        <w:jc w:val="center"/>
        <w:rPr>
          <w:caps w:val="false"/>
          <w:smallCaps w:val="false"/>
        </w:rPr>
      </w:pPr>
      <w:r>
        <w:rPr>
          <w:caps w:val="false"/>
          <w:smallCaps w:val="false"/>
        </w:rPr>
        <w:t> </w:t>
      </w:r>
    </w:p>
    <w:p>
      <w:pPr>
        <w:pStyle w:val="TextBody"/>
        <w:bidi w:val="0"/>
        <w:ind w:left="0" w:right="0" w:hanging="0"/>
        <w:jc w:val="left"/>
        <w:rPr>
          <w:bdr w:val="single" w:sz="8" w:space="1" w:color="000000"/>
        </w:rPr>
      </w:pPr>
      <w:r>
        <w:rPr>
          <w:bdr w:val="single" w:sz="8" w:space="1" w:color="000000"/>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EXPLANATORY NOTE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an issuer listed on The Stock Exchange of Hong Kong Limited, we are required to prepare an interim report in respect of the first six months of each fiscal year pursuant to Rule 13.48(1) of the Rules Governing the Listing of Securities on The Stock Exchange of Hong Kong Limited. We are furnishing our interim report in respect of the first six months of the fiscal year ending December 31, 2026 as Exhibit 99.1 of this current report on Form 6-K.</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EXHIBIT INDEX</w:t>
      </w:r>
    </w:p>
    <w:p>
      <w:pPr>
        <w:pStyle w:val="TextBody"/>
        <w:bidi w:val="0"/>
        <w:spacing w:before="0" w:after="0"/>
        <w:ind w:left="0" w:right="0" w:hanging="0"/>
        <w:jc w:val="left"/>
        <w:rPr>
          <w:caps w:val="false"/>
          <w:smallCaps w:val="false"/>
        </w:rPr>
      </w:pPr>
      <w:r>
        <w:rPr>
          <w:caps w:val="false"/>
          <w:smallCaps w:val="false"/>
        </w:rPr>
        <w:t> </w:t>
      </w:r>
    </w:p>
    <w:tbl>
      <w:tblPr>
        <w:tblW w:w="3760" w:type="dxa"/>
        <w:jc w:val="left"/>
        <w:tblInd w:w="0" w:type="dxa"/>
        <w:tblLayout w:type="fixed"/>
        <w:tblCellMar>
          <w:top w:w="0" w:type="dxa"/>
          <w:left w:w="0" w:type="dxa"/>
          <w:bottom w:w="0" w:type="dxa"/>
          <w:right w:w="0" w:type="dxa"/>
        </w:tblCellMar>
      </w:tblPr>
      <w:tblGrid>
        <w:gridCol w:w="995"/>
        <w:gridCol w:w="60"/>
        <w:gridCol w:w="2705"/>
      </w:tblGrid>
      <w:tr>
        <w:trPr/>
        <w:tc>
          <w:tcPr>
            <w:tcW w:w="995" w:type="dxa"/>
            <w:tcBorders/>
            <w:vAlign w:val="center"/>
          </w:tcPr>
          <w:p>
            <w:pPr>
              <w:pStyle w:val="TableContents"/>
              <w:pBdr>
                <w:bottom w:val="single" w:sz="4" w:space="1" w:color="000000"/>
              </w:pBdr>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Exhibit No.</w:t>
            </w:r>
          </w:p>
        </w:tc>
        <w:tc>
          <w:tcPr>
            <w:tcW w:w="60" w:type="dxa"/>
            <w:tcBorders/>
            <w:vAlign w:val="center"/>
          </w:tcPr>
          <w:p>
            <w:pPr>
              <w:pStyle w:val="TableContents"/>
              <w:bidi w:val="0"/>
              <w:spacing w:before="0" w:after="283"/>
              <w:jc w:val="left"/>
              <w:rPr/>
            </w:pPr>
            <w:r>
              <w:rPr/>
              <w:t> </w:t>
            </w:r>
          </w:p>
        </w:tc>
        <w:tc>
          <w:tcPr>
            <w:tcW w:w="2705" w:type="dxa"/>
            <w:tcBorders/>
            <w:vAlign w:val="center"/>
          </w:tcPr>
          <w:p>
            <w:pPr>
              <w:pStyle w:val="TableContents"/>
              <w:pBdr>
                <w:bottom w:val="single" w:sz="4" w:space="1" w:color="000000"/>
              </w:pBdr>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Description</w:t>
            </w:r>
          </w:p>
        </w:tc>
      </w:tr>
      <w:tr>
        <w:trPr/>
        <w:tc>
          <w:tcPr>
            <w:tcW w:w="995" w:type="dxa"/>
            <w:tcBorders/>
            <w:vAlign w:val="center"/>
          </w:tcPr>
          <w:p>
            <w:pPr>
              <w:pStyle w:val="TableContents"/>
              <w:bidi w:val="0"/>
              <w:spacing w:before="0" w:after="283"/>
              <w:jc w:val="center"/>
              <w:rPr/>
            </w:pPr>
            <w:hyperlink w:anchor="tm2624872d2_ex99-1.pdf">
              <w:r>
                <w:rPr>
                  <w:rStyle w:val="InternetLink"/>
                  <w:rFonts w:ascii="Times New Roman;Times;Serif" w:hAnsi="Times New Roman;Times;Serif"/>
                  <w:sz w:val="20"/>
                </w:rPr>
                <w:t>99.1</w:t>
              </w:r>
            </w:hyperlink>
          </w:p>
        </w:tc>
        <w:tc>
          <w:tcPr>
            <w:tcW w:w="60" w:type="dxa"/>
            <w:tcBorders/>
            <w:vAlign w:val="center"/>
          </w:tcPr>
          <w:p>
            <w:pPr>
              <w:pStyle w:val="TableContents"/>
              <w:bidi w:val="0"/>
              <w:spacing w:before="0" w:after="283"/>
              <w:jc w:val="left"/>
              <w:rPr/>
            </w:pPr>
            <w:r>
              <w:rPr/>
              <w:t> </w:t>
            </w:r>
          </w:p>
        </w:tc>
        <w:tc>
          <w:tcPr>
            <w:tcW w:w="2705" w:type="dxa"/>
            <w:tcBorders/>
            <w:vAlign w:val="center"/>
          </w:tcPr>
          <w:p>
            <w:pPr>
              <w:pStyle w:val="TableContents"/>
              <w:bidi w:val="0"/>
              <w:spacing w:before="0" w:after="283"/>
              <w:jc w:val="left"/>
              <w:rPr/>
            </w:pPr>
            <w:hyperlink w:anchor="tm2624872d2_ex99-1.pdf">
              <w:r>
                <w:rPr>
                  <w:rStyle w:val="InternetLink"/>
                  <w:rFonts w:ascii="Times New Roman;Times;Serif" w:hAnsi="Times New Roman;Times;Serif"/>
                  <w:sz w:val="20"/>
                </w:rPr>
                <w:t>Li Auto Inc. 2026 Interim Report</w:t>
              </w:r>
            </w:hyperlink>
          </w:p>
        </w:tc>
      </w:tr>
    </w:tbl>
    <w:p>
      <w:pPr>
        <w:pStyle w:val="TextBody"/>
        <w:bidi w:val="0"/>
        <w:spacing w:before="0" w:after="0"/>
        <w:ind w:left="0" w:right="0" w:firstLine="922"/>
        <w:jc w:val="left"/>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SIGNATURES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Pursuant to the requirements of the Securities Exchange Act of 1934, the registrant has duly caused this report to be signed on its behalf by the undersigned, thereunto duly authorized.</w:t>
      </w:r>
    </w:p>
    <w:p>
      <w:pPr>
        <w:pStyle w:val="TextBody"/>
        <w:bidi w:val="0"/>
        <w:spacing w:before="0" w:after="0"/>
        <w:ind w:left="0" w:right="0" w:hanging="0"/>
        <w:jc w:val="left"/>
        <w:rPr>
          <w:caps w:val="false"/>
          <w:smallCaps w:val="false"/>
        </w:rPr>
      </w:pPr>
      <w:r>
        <w:rPr>
          <w:caps w:val="false"/>
          <w:smallCaps w:val="false"/>
        </w:rPr>
        <w:t>  </w:t>
      </w:r>
    </w:p>
    <w:tbl>
      <w:tblPr>
        <w:tblW w:w="3585" w:type="dxa"/>
        <w:jc w:val="left"/>
        <w:tblInd w:w="0" w:type="dxa"/>
        <w:tblLayout w:type="fixed"/>
        <w:tblCellMar>
          <w:top w:w="0" w:type="dxa"/>
          <w:left w:w="0" w:type="dxa"/>
          <w:bottom w:w="0" w:type="dxa"/>
          <w:right w:w="0" w:type="dxa"/>
        </w:tblCellMar>
      </w:tblPr>
      <w:tblGrid>
        <w:gridCol w:w="75"/>
        <w:gridCol w:w="485"/>
        <w:gridCol w:w="80"/>
        <w:gridCol w:w="2945"/>
      </w:tblGrid>
      <w:tr>
        <w:trPr/>
        <w:tc>
          <w:tcPr>
            <w:tcW w:w="75" w:type="dxa"/>
            <w:tcBorders/>
            <w:vAlign w:val="center"/>
          </w:tcPr>
          <w:p>
            <w:pPr>
              <w:pStyle w:val="TableContents"/>
              <w:bidi w:val="0"/>
              <w:spacing w:before="0" w:after="283"/>
              <w:jc w:val="left"/>
              <w:rPr/>
            </w:pPr>
            <w:r>
              <w:rPr/>
              <w:t> </w:t>
            </w:r>
          </w:p>
        </w:tc>
        <w:tc>
          <w:tcPr>
            <w:tcW w:w="3510" w:type="dxa"/>
            <w:gridSpan w:val="3"/>
            <w:tcBorders/>
            <w:vAlign w:val="center"/>
          </w:tcPr>
          <w:p>
            <w:pPr>
              <w:pStyle w:val="TableContents"/>
              <w:bidi w:val="0"/>
              <w:spacing w:before="0" w:after="283"/>
              <w:jc w:val="left"/>
              <w:rPr>
                <w:b/>
                <w:sz w:val="20"/>
              </w:rPr>
            </w:pPr>
            <w:r>
              <w:rPr>
                <w:b/>
                <w:sz w:val="20"/>
              </w:rPr>
              <w:t>Li Auto Inc.</w:t>
            </w:r>
          </w:p>
        </w:tc>
      </w:tr>
      <w:tr>
        <w:trPr/>
        <w:tc>
          <w:tcPr>
            <w:tcW w:w="75" w:type="dxa"/>
            <w:tcBorders/>
            <w:vAlign w:val="center"/>
          </w:tcPr>
          <w:p>
            <w:pPr>
              <w:pStyle w:val="TableContents"/>
              <w:bidi w:val="0"/>
              <w:spacing w:before="0" w:after="283"/>
              <w:jc w:val="left"/>
              <w:rPr/>
            </w:pPr>
            <w:r>
              <w:rPr/>
              <w:t> </w:t>
            </w:r>
          </w:p>
        </w:tc>
        <w:tc>
          <w:tcPr>
            <w:tcW w:w="485" w:type="dxa"/>
            <w:tcBorders/>
            <w:vAlign w:val="center"/>
          </w:tcPr>
          <w:p>
            <w:pPr>
              <w:pStyle w:val="TableContents"/>
              <w:bidi w:val="0"/>
              <w:spacing w:before="0" w:after="283"/>
              <w:jc w:val="left"/>
              <w:rPr/>
            </w:pPr>
            <w:r>
              <w:rPr/>
              <w:t> </w:t>
            </w:r>
          </w:p>
        </w:tc>
        <w:tc>
          <w:tcPr>
            <w:tcW w:w="80" w:type="dxa"/>
            <w:tcBorders/>
            <w:vAlign w:val="center"/>
          </w:tcPr>
          <w:p>
            <w:pPr>
              <w:pStyle w:val="TableContents"/>
              <w:bidi w:val="0"/>
              <w:spacing w:before="0" w:after="283"/>
              <w:jc w:val="left"/>
              <w:rPr/>
            </w:pPr>
            <w:r>
              <w:rPr/>
              <w:t> </w:t>
            </w:r>
          </w:p>
        </w:tc>
        <w:tc>
          <w:tcPr>
            <w:tcW w:w="2945" w:type="dxa"/>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48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By</w:t>
            </w:r>
          </w:p>
        </w:tc>
        <w:tc>
          <w:tcPr>
            <w:tcW w:w="80" w:type="dxa"/>
            <w:tcBorders/>
            <w:vAlign w:val="center"/>
          </w:tcPr>
          <w:p>
            <w:pPr>
              <w:pStyle w:val="TableContents"/>
              <w:bidi w:val="0"/>
              <w:spacing w:before="0" w:after="283"/>
              <w:jc w:val="left"/>
              <w:rPr/>
            </w:pPr>
            <w:r>
              <w:rPr/>
              <w:t> </w:t>
            </w:r>
          </w:p>
        </w:tc>
        <w:tc>
          <w:tcPr>
            <w:tcW w:w="2945" w:type="dxa"/>
            <w:tcBorders/>
            <w:vAlign w:val="center"/>
          </w:tcPr>
          <w:p>
            <w:pPr>
              <w:pStyle w:val="TableContents"/>
              <w:pBdr>
                <w:bottom w:val="single" w:sz="4" w:space="1" w:color="000000"/>
              </w:pBdr>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 Tie Li</w:t>
            </w:r>
          </w:p>
        </w:tc>
      </w:tr>
      <w:tr>
        <w:trPr/>
        <w:tc>
          <w:tcPr>
            <w:tcW w:w="75" w:type="dxa"/>
            <w:tcBorders/>
            <w:vAlign w:val="center"/>
          </w:tcPr>
          <w:p>
            <w:pPr>
              <w:pStyle w:val="TableContents"/>
              <w:bidi w:val="0"/>
              <w:spacing w:before="0" w:after="283"/>
              <w:jc w:val="left"/>
              <w:rPr/>
            </w:pPr>
            <w:r>
              <w:rPr/>
              <w:t> </w:t>
            </w:r>
          </w:p>
        </w:tc>
        <w:tc>
          <w:tcPr>
            <w:tcW w:w="48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Name</w:t>
            </w:r>
          </w:p>
        </w:tc>
        <w:tc>
          <w:tcPr>
            <w:tcW w:w="8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294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Tie Li</w:t>
            </w:r>
          </w:p>
        </w:tc>
      </w:tr>
      <w:tr>
        <w:trPr/>
        <w:tc>
          <w:tcPr>
            <w:tcW w:w="75" w:type="dxa"/>
            <w:tcBorders/>
            <w:vAlign w:val="center"/>
          </w:tcPr>
          <w:p>
            <w:pPr>
              <w:pStyle w:val="TableContents"/>
              <w:bidi w:val="0"/>
              <w:spacing w:before="0" w:after="283"/>
              <w:jc w:val="left"/>
              <w:rPr/>
            </w:pPr>
            <w:r>
              <w:rPr/>
              <w:t> </w:t>
            </w:r>
          </w:p>
        </w:tc>
        <w:tc>
          <w:tcPr>
            <w:tcW w:w="48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Title</w:t>
            </w:r>
          </w:p>
        </w:tc>
        <w:tc>
          <w:tcPr>
            <w:tcW w:w="8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294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Director and Chief Financial Officer</w:t>
            </w:r>
          </w:p>
        </w:tc>
      </w:tr>
    </w:tbl>
    <w:p>
      <w:pPr>
        <w:pStyle w:val="TextBody"/>
        <w:bidi w:val="0"/>
        <w:spacing w:before="0" w:after="0"/>
        <w:ind w:left="288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Date: September 8, 2026</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Times"/>
    <w:charset w:val="01"/>
    <w:family w:val="auto"/>
    <w:pitch w:val="default"/>
  </w:font>
  <w:font w:name="Wingdings">
    <w:charset w:val="02"/>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fontTable" Target="fontTable.xml"/><Relationship Id="rId3"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3</Pages>
  <Words>235</Words>
  <Characters>1164</Characters>
  <CharactersWithSpaces>1421</CharactersWithSpaces>
  <Paragraphs>88</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