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001-39407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32"/>
          <w:szCs w:val="32"/>
          <w:b w:val="1"/>
          <w:bCs w:val="1"/>
          <w:color w:val="auto"/>
        </w:rPr>
        <w:t>Li Auto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11 Wenliang Street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Shunyi District, Beijing 101399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4"/>
          </w:tcPr>
          <w:p>
            <w:pPr>
              <w:ind w:left="35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36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9880" w:type="dxa"/>
            <w:vAlign w:val="bottom"/>
            <w:gridSpan w:val="4"/>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460" w:type="dxa"/>
            <w:vAlign w:val="bottom"/>
            <w:tcBorders>
              <w:top w:val="single" w:sz="8" w:color="auto"/>
            </w:tcBorders>
            <w:gridSpan w:val="2"/>
          </w:tcPr>
          <w:p>
            <w:pPr>
              <w:spacing w:after="0"/>
              <w:rPr>
                <w:sz w:val="14"/>
                <w:szCs w:val="14"/>
                <w:color w:val="auto"/>
              </w:rPr>
            </w:pPr>
          </w:p>
        </w:tc>
        <w:tc>
          <w:tcPr>
            <w:tcW w:w="2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p>
        </w:tc>
        <w:tc>
          <w:tcPr>
            <w:tcW w:w="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880" w:type="dxa"/>
            <w:vAlign w:val="bottom"/>
            <w:tcBorders>
              <w:top w:val="single" w:sz="8" w:color="auto"/>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EE"/>
              </w:rPr>
              <w:t>Seventh Amended and Restated Memorandum and Articles of Association</w:t>
            </w:r>
          </w:p>
        </w:tc>
      </w:tr>
      <w:tr>
        <w:trPr>
          <w:trHeight w:val="20"/>
        </w:trPr>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3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r>
        <w:trPr>
          <w:trHeight w:val="196"/>
        </w:trPr>
        <w:tc>
          <w:tcPr>
            <w:tcW w:w="740" w:type="dxa"/>
            <w:vAlign w:val="bottom"/>
            <w:gridSpan w:val="4"/>
          </w:tcPr>
          <w:p>
            <w:pPr>
              <w:jc w:val="center"/>
              <w:ind w:left="330"/>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Press Release—Li Auto Inc. Announces Results of Annual General Meeting</w:t>
            </w:r>
          </w:p>
        </w:tc>
      </w:tr>
      <w:tr>
        <w:trPr>
          <w:trHeight w:val="20"/>
        </w:trPr>
        <w:tc>
          <w:tcPr>
            <w:tcW w:w="42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50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r>
        <w:trPr>
          <w:trHeight w:val="196"/>
        </w:trPr>
        <w:tc>
          <w:tcPr>
            <w:tcW w:w="740" w:type="dxa"/>
            <w:vAlign w:val="bottom"/>
            <w:gridSpan w:val="4"/>
          </w:tcPr>
          <w:p>
            <w:pPr>
              <w:jc w:val="center"/>
              <w:ind w:left="330"/>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2</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Announcement—Poll Results of the Annual General Meeting Held on May 29, 2026</w:t>
            </w:r>
          </w:p>
        </w:tc>
      </w:tr>
      <w:tr>
        <w:trPr>
          <w:trHeight w:val="695"/>
        </w:trPr>
        <w:tc>
          <w:tcPr>
            <w:tcW w:w="42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3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Li Auto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spacing w:after="0"/>
              <w:rPr>
                <w:sz w:val="20"/>
                <w:szCs w:val="20"/>
                <w:color w:val="auto"/>
              </w:rPr>
            </w:pP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Tie Li</w:t>
            </w:r>
          </w:p>
        </w:tc>
      </w:tr>
      <w:tr>
        <w:trPr>
          <w:trHeight w:val="191"/>
        </w:trPr>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Tie Li</w:t>
            </w: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COMPANIES ACT (AS REVISED)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SEVENTH 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 AUTO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by special resolution passed on 29 May 2026)</w:t>
      </w:r>
    </w:p>
    <w:p>
      <w:pPr>
        <w:spacing w:after="0" w:line="221"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 of the Company is </w:t>
      </w:r>
      <w:r>
        <w:rPr>
          <w:rFonts w:ascii="Times New Roman" w:cs="Times New Roman" w:eastAsia="Times New Roman" w:hAnsi="Times New Roman"/>
          <w:sz w:val="18"/>
          <w:szCs w:val="18"/>
          <w:b w:val="1"/>
          <w:bCs w:val="1"/>
          <w:color w:val="auto"/>
        </w:rPr>
        <w:t>Li Auto Inc.</w:t>
      </w:r>
    </w:p>
    <w:p>
      <w:pPr>
        <w:spacing w:after="0" w:line="22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Company will be situated at the offices of Maples Corporate Services Limited, P.O. Box 309, Ugland House, Grand Cayman KY1-1104, Cayman Islands, or at such other location within the Cayman Islands as the Directors may from time to time determine.</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objects for which the Company is established are unrestricted and the Company shall have full power and authority to carry out any object not prohibited by the Companies Act or any other law of the Cayman Islands.</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and be capable of exercising all the functions of a natural person of full capacity irrespective of any question of corporate benefit as provided by the Companies Act.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trade in the Cayman Islands with any person, firm or corporation except in furtherance of the business of the Company carried on outside the Cayman Islands; provided that nothing in this section shall be construed as to prevent the Company effecting and concluding contracts in the Cayman Islands, and exercising in the Cayman Islands all of its powers necessary for the carrying on of its business outside the Cayman Islands.</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each Shareholder is limited to the amount, if any, unpaid on the Shares held by such Shareholder.</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share capital of the Company is US$500,000 divided into 5,000,000,000 shares comprising of (i) 4,500,000,000 Class A Ordinary Shares of a par value of US$0.0001 each and (ii) 500,000,000 Class B Ordinary Shares of a par value of US$0.0001 each. Subject to the Companies Act and the Articles, the Company shall have power to redeem or purchase any of its Shares and to increase or reduce its authorized share capital and to sub-divide or consolidate the said Shares or any of them and to issue all or any part of its capital whether original, redeemed, increased or reduced with or without any preference, priority, special privilege or other rights or subject to any postponement of rights or to any conditions or restrictions whatsoever and so that unless the conditions of issue shall otherwise expressly provide every issue of shares whether stated to be ordinary, preference or otherwise shall be subject to the powers on the part of the Company hereinbefore provided.</w:t>
      </w:r>
    </w:p>
    <w:p>
      <w:pPr>
        <w:spacing w:after="0" w:line="188"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power contained in the Companies Act to deregister in the Cayman Islands and be registered by way of continuation in some other jurisdiction.</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that are not defined in this Memorandum of Association bear the same meanings as those given in the Articles of Association of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THE COMPANIES ACT (AS REVISED)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SEVENTH 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 AUTO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by special resolution passed on 29 May 2026)</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A</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regulations contained or incorporated in Table ‘A’ in the First Schedule of the Companies Act shall not apply to the Company and the following Articles shall comprise the Articles of Association of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Articles the following defined terms will have the meanings ascribed to them, if not inconsistent with the subject or context: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“ADS”</w:t>
            </w:r>
          </w:p>
        </w:tc>
        <w:tc>
          <w:tcPr>
            <w:tcW w:w="88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means an American Depositary Share representing Class A Ordinary Shares;</w:t>
            </w:r>
          </w:p>
        </w:tc>
      </w:tr>
      <w:tr>
        <w:trPr>
          <w:trHeight w:val="414"/>
        </w:trPr>
        <w:tc>
          <w:tcPr>
            <w:tcW w:w="24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“Affiliate”</w:t>
            </w:r>
          </w:p>
        </w:tc>
        <w:tc>
          <w:tcPr>
            <w:tcW w:w="88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means in respect of a Person, any other Person that, directly or indirectly, through one (1) or more</w:t>
            </w:r>
          </w:p>
        </w:tc>
      </w:tr>
      <w:tr>
        <w:trPr>
          <w:trHeight w:val="216"/>
        </w:trPr>
        <w:tc>
          <w:tcPr>
            <w:tcW w:w="2440" w:type="dxa"/>
            <w:vAlign w:val="bottom"/>
          </w:tcPr>
          <w:p>
            <w:pPr>
              <w:spacing w:after="0"/>
              <w:rPr>
                <w:sz w:val="18"/>
                <w:szCs w:val="18"/>
                <w:color w:val="auto"/>
              </w:rPr>
            </w:pPr>
          </w:p>
        </w:tc>
        <w:tc>
          <w:tcPr>
            <w:tcW w:w="88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intermediaries, controls, is controlled by, or is under common control with, such Person, and (i) in the case</w:t>
            </w:r>
          </w:p>
        </w:tc>
      </w:tr>
      <w:tr>
        <w:trPr>
          <w:trHeight w:val="216"/>
        </w:trPr>
        <w:tc>
          <w:tcPr>
            <w:tcW w:w="2440" w:type="dxa"/>
            <w:vAlign w:val="bottom"/>
          </w:tcPr>
          <w:p>
            <w:pPr>
              <w:spacing w:after="0"/>
              <w:rPr>
                <w:sz w:val="18"/>
                <w:szCs w:val="18"/>
                <w:color w:val="auto"/>
              </w:rPr>
            </w:pPr>
          </w:p>
        </w:tc>
        <w:tc>
          <w:tcPr>
            <w:tcW w:w="88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of a natural person, any of such person’s Family Members, a trust for the benefit of such person, or any of</w:t>
            </w:r>
          </w:p>
        </w:tc>
      </w:tr>
      <w:tr>
        <w:trPr>
          <w:trHeight w:val="216"/>
        </w:trPr>
        <w:tc>
          <w:tcPr>
            <w:tcW w:w="2440" w:type="dxa"/>
            <w:vAlign w:val="bottom"/>
          </w:tcPr>
          <w:p>
            <w:pPr>
              <w:spacing w:after="0"/>
              <w:rPr>
                <w:sz w:val="18"/>
                <w:szCs w:val="18"/>
                <w:color w:val="auto"/>
              </w:rPr>
            </w:pPr>
          </w:p>
        </w:tc>
        <w:tc>
          <w:tcPr>
            <w:tcW w:w="88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such person’s Family Members, and a corporation, partnership, or any other entity wholly or jointly owned</w:t>
            </w:r>
          </w:p>
        </w:tc>
      </w:tr>
      <w:tr>
        <w:trPr>
          <w:trHeight w:val="216"/>
        </w:trPr>
        <w:tc>
          <w:tcPr>
            <w:tcW w:w="2440" w:type="dxa"/>
            <w:vAlign w:val="bottom"/>
          </w:tcPr>
          <w:p>
            <w:pPr>
              <w:spacing w:after="0"/>
              <w:rPr>
                <w:sz w:val="18"/>
                <w:szCs w:val="18"/>
                <w:color w:val="auto"/>
              </w:rPr>
            </w:pPr>
          </w:p>
        </w:tc>
        <w:tc>
          <w:tcPr>
            <w:tcW w:w="88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or controlled by such person and any of such person’s Family Members, and (ii) in the case of an entity, a</w:t>
            </w:r>
          </w:p>
        </w:tc>
      </w:tr>
      <w:tr>
        <w:trPr>
          <w:trHeight w:val="216"/>
        </w:trPr>
        <w:tc>
          <w:tcPr>
            <w:tcW w:w="2440" w:type="dxa"/>
            <w:vAlign w:val="bottom"/>
          </w:tcPr>
          <w:p>
            <w:pPr>
              <w:spacing w:after="0"/>
              <w:rPr>
                <w:sz w:val="18"/>
                <w:szCs w:val="18"/>
                <w:color w:val="auto"/>
              </w:rPr>
            </w:pPr>
          </w:p>
        </w:tc>
        <w:tc>
          <w:tcPr>
            <w:tcW w:w="880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partnership, a corporation, or any other entity, or any natural person which directly, or indirectly through one</w:t>
            </w:r>
          </w:p>
        </w:tc>
      </w:tr>
      <w:tr>
        <w:trPr>
          <w:trHeight w:val="216"/>
        </w:trPr>
        <w:tc>
          <w:tcPr>
            <w:tcW w:w="2440" w:type="dxa"/>
            <w:vAlign w:val="bottom"/>
          </w:tcPr>
          <w:p>
            <w:pPr>
              <w:spacing w:after="0"/>
              <w:rPr>
                <w:sz w:val="18"/>
                <w:szCs w:val="18"/>
                <w:color w:val="auto"/>
              </w:rPr>
            </w:pPr>
          </w:p>
        </w:tc>
        <w:tc>
          <w:tcPr>
            <w:tcW w:w="88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or more intermediaries, controls, is controlled by, or is under common control with, such entity. The term</w:t>
            </w:r>
          </w:p>
        </w:tc>
      </w:tr>
      <w:tr>
        <w:trPr>
          <w:trHeight w:val="216"/>
        </w:trPr>
        <w:tc>
          <w:tcPr>
            <w:tcW w:w="2440" w:type="dxa"/>
            <w:vAlign w:val="bottom"/>
          </w:tcPr>
          <w:p>
            <w:pPr>
              <w:spacing w:after="0"/>
              <w:rPr>
                <w:sz w:val="18"/>
                <w:szCs w:val="18"/>
                <w:color w:val="auto"/>
              </w:rPr>
            </w:pPr>
          </w:p>
        </w:tc>
        <w:tc>
          <w:tcPr>
            <w:tcW w:w="88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“control” means the ownership, directly or indirectly, of shares possessing more than fifty percent (50%) of</w:t>
            </w:r>
          </w:p>
        </w:tc>
      </w:tr>
      <w:tr>
        <w:trPr>
          <w:trHeight w:val="216"/>
        </w:trPr>
        <w:tc>
          <w:tcPr>
            <w:tcW w:w="2440" w:type="dxa"/>
            <w:vAlign w:val="bottom"/>
          </w:tcPr>
          <w:p>
            <w:pPr>
              <w:spacing w:after="0"/>
              <w:rPr>
                <w:sz w:val="18"/>
                <w:szCs w:val="18"/>
                <w:color w:val="auto"/>
              </w:rPr>
            </w:pPr>
          </w:p>
        </w:tc>
        <w:tc>
          <w:tcPr>
            <w:tcW w:w="88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the voting power of the corporation, partnership, or other entity (other than, in the case of a corporation,</w:t>
            </w:r>
          </w:p>
        </w:tc>
      </w:tr>
      <w:tr>
        <w:trPr>
          <w:trHeight w:val="216"/>
        </w:trPr>
        <w:tc>
          <w:tcPr>
            <w:tcW w:w="2440" w:type="dxa"/>
            <w:vAlign w:val="bottom"/>
          </w:tcPr>
          <w:p>
            <w:pPr>
              <w:spacing w:after="0"/>
              <w:rPr>
                <w:sz w:val="18"/>
                <w:szCs w:val="18"/>
                <w:color w:val="auto"/>
              </w:rPr>
            </w:pPr>
          </w:p>
        </w:tc>
        <w:tc>
          <w:tcPr>
            <w:tcW w:w="88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securities having such power only by reason of the happening of a contingency), or having the power to</w:t>
            </w:r>
          </w:p>
        </w:tc>
      </w:tr>
      <w:tr>
        <w:trPr>
          <w:trHeight w:val="216"/>
        </w:trPr>
        <w:tc>
          <w:tcPr>
            <w:tcW w:w="2440" w:type="dxa"/>
            <w:vAlign w:val="bottom"/>
          </w:tcPr>
          <w:p>
            <w:pPr>
              <w:spacing w:after="0"/>
              <w:rPr>
                <w:sz w:val="18"/>
                <w:szCs w:val="18"/>
                <w:color w:val="auto"/>
              </w:rPr>
            </w:pPr>
          </w:p>
        </w:tc>
        <w:tc>
          <w:tcPr>
            <w:tcW w:w="88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control the management or elect a majority of members to the board of directors or equivalent decision-</w:t>
            </w:r>
          </w:p>
        </w:tc>
      </w:tr>
      <w:tr>
        <w:trPr>
          <w:trHeight w:val="234"/>
        </w:trPr>
        <w:tc>
          <w:tcPr>
            <w:tcW w:w="2440" w:type="dxa"/>
            <w:vAlign w:val="bottom"/>
          </w:tcPr>
          <w:p>
            <w:pPr>
              <w:spacing w:after="0"/>
              <w:rPr>
                <w:sz w:val="20"/>
                <w:szCs w:val="20"/>
                <w:color w:val="auto"/>
              </w:rPr>
            </w:pPr>
          </w:p>
        </w:tc>
        <w:tc>
          <w:tcPr>
            <w:tcW w:w="88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making body of such corporation, partnership or other entity;</w:t>
            </w:r>
          </w:p>
        </w:tc>
      </w:tr>
      <w:tr>
        <w:trPr>
          <w:trHeight w:val="432"/>
        </w:trPr>
        <w:tc>
          <w:tcPr>
            <w:tcW w:w="24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“associate”</w:t>
            </w:r>
          </w:p>
        </w:tc>
        <w:tc>
          <w:tcPr>
            <w:tcW w:w="88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shall have the meaning given to it in the Listing Rules;</w:t>
            </w:r>
          </w:p>
        </w:tc>
      </w:tr>
      <w:tr>
        <w:trPr>
          <w:trHeight w:val="432"/>
        </w:trPr>
        <w:tc>
          <w:tcPr>
            <w:tcW w:w="24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“Articles”</w:t>
            </w:r>
          </w:p>
        </w:tc>
        <w:tc>
          <w:tcPr>
            <w:tcW w:w="88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means these articles of association of the Company, as amended or substituted from time to time;</w:t>
            </w:r>
          </w:p>
        </w:tc>
      </w:tr>
      <w:tr>
        <w:trPr>
          <w:trHeight w:val="675"/>
        </w:trPr>
        <w:tc>
          <w:tcPr>
            <w:tcW w:w="2440" w:type="dxa"/>
            <w:vAlign w:val="bottom"/>
            <w:tcBorders>
              <w:bottom w:val="single" w:sz="8" w:color="auto"/>
            </w:tcBorders>
          </w:tcPr>
          <w:p>
            <w:pPr>
              <w:spacing w:after="0"/>
              <w:rPr>
                <w:sz w:val="24"/>
                <w:szCs w:val="24"/>
                <w:color w:val="auto"/>
              </w:rPr>
            </w:pPr>
          </w:p>
        </w:tc>
        <w:tc>
          <w:tcPr>
            <w:tcW w:w="8800" w:type="dxa"/>
            <w:vAlign w:val="bottom"/>
            <w:tcBorders>
              <w:bottom w:val="single" w:sz="8" w:color="auto"/>
            </w:tcBorders>
          </w:tcPr>
          <w:p>
            <w:pPr>
              <w:ind w:left="314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“Board”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“Board of</w:t>
            </w:r>
          </w:p>
        </w:tc>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the directors of the Company for the time being, or as the case may be, the directors assembled as a</w:t>
            </w:r>
          </w:p>
        </w:tc>
      </w:tr>
      <w:tr>
        <w:trPr>
          <w:trHeight w:val="238"/>
        </w:trPr>
        <w:tc>
          <w:tcPr>
            <w:tcW w:w="312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 xml:space="preserve">Directors” </w:t>
            </w: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b w:val="1"/>
                <w:bCs w:val="1"/>
                <w:color w:val="auto"/>
              </w:rPr>
              <w:t>“Directors”</w:t>
            </w:r>
          </w:p>
        </w:tc>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board or as a committee thereof;</w:t>
            </w:r>
          </w:p>
        </w:tc>
      </w:tr>
      <w:tr>
        <w:trPr>
          <w:trHeight w:val="432"/>
        </w:trPr>
        <w:tc>
          <w:tcPr>
            <w:tcW w:w="31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“Chairman”</w:t>
            </w:r>
          </w:p>
        </w:tc>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the chairman of the Board of Directors;</w:t>
            </w:r>
          </w:p>
        </w:tc>
      </w:tr>
      <w:tr>
        <w:trPr>
          <w:trHeight w:val="432"/>
        </w:trPr>
        <w:tc>
          <w:tcPr>
            <w:tcW w:w="31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“close associate”</w:t>
            </w:r>
          </w:p>
        </w:tc>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shall have the meaning given to it in the Listing Rules;</w:t>
            </w:r>
          </w:p>
        </w:tc>
      </w:tr>
      <w:tr>
        <w:trPr>
          <w:trHeight w:val="432"/>
        </w:trPr>
        <w:tc>
          <w:tcPr>
            <w:tcW w:w="31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“Class” or “Classes”</w:t>
            </w:r>
          </w:p>
        </w:tc>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any class or classes of Shares as may from time to time be issued by the Company;</w:t>
            </w:r>
          </w:p>
        </w:tc>
      </w:tr>
      <w:tr>
        <w:trPr>
          <w:trHeight w:val="414"/>
        </w:trPr>
        <w:tc>
          <w:tcPr>
            <w:tcW w:w="31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“Class A Ordinary Share”</w:t>
            </w:r>
          </w:p>
        </w:tc>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means an Ordinary Share of a par value of US$0.0001 in the capital of the Company, designated as a Class A</w:t>
            </w:r>
          </w:p>
        </w:tc>
      </w:tr>
      <w:tr>
        <w:trPr>
          <w:trHeight w:val="234"/>
        </w:trPr>
        <w:tc>
          <w:tcPr>
            <w:tcW w:w="3120" w:type="dxa"/>
            <w:vAlign w:val="bottom"/>
          </w:tcPr>
          <w:p>
            <w:pPr>
              <w:spacing w:after="0"/>
              <w:rPr>
                <w:sz w:val="20"/>
                <w:szCs w:val="20"/>
                <w:color w:val="auto"/>
              </w:rPr>
            </w:pPr>
          </w:p>
        </w:tc>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Ordinary Shares and having the rights provided for in these Articles;</w:t>
            </w:r>
          </w:p>
        </w:tc>
      </w:tr>
      <w:tr>
        <w:trPr>
          <w:trHeight w:val="414"/>
        </w:trPr>
        <w:tc>
          <w:tcPr>
            <w:tcW w:w="31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“Class B Ordinary Share”</w:t>
            </w:r>
          </w:p>
        </w:tc>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means an Ordinary Share of a par value of US$0.0001 in the capital of the Company, designated as a Class B</w:t>
            </w:r>
          </w:p>
        </w:tc>
      </w:tr>
      <w:tr>
        <w:trPr>
          <w:trHeight w:val="234"/>
        </w:trPr>
        <w:tc>
          <w:tcPr>
            <w:tcW w:w="3120" w:type="dxa"/>
            <w:vAlign w:val="bottom"/>
          </w:tcPr>
          <w:p>
            <w:pPr>
              <w:spacing w:after="0"/>
              <w:rPr>
                <w:sz w:val="20"/>
                <w:szCs w:val="20"/>
                <w:color w:val="auto"/>
              </w:rPr>
            </w:pPr>
          </w:p>
        </w:tc>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Ordinary Share and having the rights provided for in these Articles;</w:t>
            </w:r>
          </w:p>
        </w:tc>
      </w:tr>
      <w:tr>
        <w:trPr>
          <w:trHeight w:val="414"/>
        </w:trPr>
        <w:tc>
          <w:tcPr>
            <w:tcW w:w="31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the Securities and Exchange Commission of the United States of America or any other federal agency</w:t>
            </w:r>
          </w:p>
        </w:tc>
      </w:tr>
      <w:tr>
        <w:trPr>
          <w:trHeight w:val="234"/>
        </w:trPr>
        <w:tc>
          <w:tcPr>
            <w:tcW w:w="3120" w:type="dxa"/>
            <w:vAlign w:val="bottom"/>
          </w:tcPr>
          <w:p>
            <w:pPr>
              <w:spacing w:after="0"/>
              <w:rPr>
                <w:sz w:val="20"/>
                <w:szCs w:val="20"/>
                <w:color w:val="auto"/>
              </w:rPr>
            </w:pPr>
          </w:p>
        </w:tc>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 the time being administering the Securities Act;</w:t>
            </w:r>
          </w:p>
        </w:tc>
      </w:tr>
      <w:tr>
        <w:trPr>
          <w:trHeight w:val="432"/>
        </w:trPr>
        <w:tc>
          <w:tcPr>
            <w:tcW w:w="31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“Companies Ordinance”</w:t>
            </w:r>
          </w:p>
        </w:tc>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the Companies Ordinance (Cap. 622 of the Laws of Hong Kong) as in force from time to time;</w:t>
            </w:r>
          </w:p>
        </w:tc>
      </w:tr>
      <w:tr>
        <w:trPr>
          <w:trHeight w:val="432"/>
        </w:trPr>
        <w:tc>
          <w:tcPr>
            <w:tcW w:w="31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Li Auto Inc., a Cayman Islands exempted company;</w:t>
            </w:r>
          </w:p>
        </w:tc>
      </w:tr>
      <w:tr>
        <w:trPr>
          <w:trHeight w:val="414"/>
        </w:trPr>
        <w:tc>
          <w:tcPr>
            <w:tcW w:w="31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“Communication Facilities”</w:t>
            </w:r>
          </w:p>
        </w:tc>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video,  video-conferencing,  internet  or  online  conferencing  applications,  telephone  or  tele-</w:t>
            </w:r>
          </w:p>
        </w:tc>
      </w:tr>
      <w:tr>
        <w:trPr>
          <w:trHeight w:val="216"/>
        </w:trPr>
        <w:tc>
          <w:tcPr>
            <w:tcW w:w="3120" w:type="dxa"/>
            <w:vAlign w:val="bottom"/>
          </w:tcPr>
          <w:p>
            <w:pPr>
              <w:spacing w:after="0"/>
              <w:rPr>
                <w:sz w:val="18"/>
                <w:szCs w:val="18"/>
                <w:color w:val="auto"/>
              </w:rPr>
            </w:pPr>
          </w:p>
        </w:tc>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conferencing, and/or any other video-communications, internet or online conferencing application or</w:t>
            </w:r>
          </w:p>
        </w:tc>
      </w:tr>
      <w:tr>
        <w:trPr>
          <w:trHeight w:val="216"/>
        </w:trPr>
        <w:tc>
          <w:tcPr>
            <w:tcW w:w="3120" w:type="dxa"/>
            <w:vAlign w:val="bottom"/>
          </w:tcPr>
          <w:p>
            <w:pPr>
              <w:spacing w:after="0"/>
              <w:rPr>
                <w:sz w:val="18"/>
                <w:szCs w:val="18"/>
                <w:color w:val="auto"/>
              </w:rPr>
            </w:pPr>
          </w:p>
        </w:tc>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telecommunications facilities by means of which all Persons participating in a meeting are capable of</w:t>
            </w:r>
          </w:p>
        </w:tc>
      </w:tr>
      <w:tr>
        <w:trPr>
          <w:trHeight w:val="234"/>
        </w:trPr>
        <w:tc>
          <w:tcPr>
            <w:tcW w:w="3120" w:type="dxa"/>
            <w:vAlign w:val="bottom"/>
          </w:tcPr>
          <w:p>
            <w:pPr>
              <w:spacing w:after="0"/>
              <w:rPr>
                <w:sz w:val="20"/>
                <w:szCs w:val="20"/>
                <w:color w:val="auto"/>
              </w:rPr>
            </w:pPr>
          </w:p>
        </w:tc>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hearing and being heard by each other;</w:t>
            </w:r>
          </w:p>
        </w:tc>
      </w:tr>
      <w:tr>
        <w:trPr>
          <w:trHeight w:val="414"/>
        </w:trPr>
        <w:tc>
          <w:tcPr>
            <w:tcW w:w="31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“Companies Act”</w:t>
            </w:r>
          </w:p>
        </w:tc>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the Companies Act (As Revised) of the Cayman Islands and any statutory amendment or re-</w:t>
            </w:r>
          </w:p>
        </w:tc>
      </w:tr>
      <w:tr>
        <w:trPr>
          <w:trHeight w:val="234"/>
        </w:trPr>
        <w:tc>
          <w:tcPr>
            <w:tcW w:w="3120" w:type="dxa"/>
            <w:vAlign w:val="bottom"/>
          </w:tcPr>
          <w:p>
            <w:pPr>
              <w:spacing w:after="0"/>
              <w:rPr>
                <w:sz w:val="20"/>
                <w:szCs w:val="20"/>
                <w:color w:val="auto"/>
              </w:rPr>
            </w:pPr>
          </w:p>
        </w:tc>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enactment thereof;</w:t>
            </w:r>
          </w:p>
        </w:tc>
      </w:tr>
      <w:tr>
        <w:trPr>
          <w:trHeight w:val="414"/>
        </w:trPr>
        <w:tc>
          <w:tcPr>
            <w:tcW w:w="31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“Company’s Website”</w:t>
            </w:r>
          </w:p>
        </w:tc>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the main corporate/investor relations website of the Company, the address or domain name of which</w:t>
            </w:r>
          </w:p>
        </w:tc>
      </w:tr>
      <w:tr>
        <w:trPr>
          <w:trHeight w:val="216"/>
        </w:trPr>
        <w:tc>
          <w:tcPr>
            <w:tcW w:w="3120" w:type="dxa"/>
            <w:vAlign w:val="bottom"/>
          </w:tcPr>
          <w:p>
            <w:pPr>
              <w:spacing w:after="0"/>
              <w:rPr>
                <w:sz w:val="18"/>
                <w:szCs w:val="18"/>
                <w:color w:val="auto"/>
              </w:rPr>
            </w:pPr>
          </w:p>
        </w:tc>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has been disclosed in any registration statement filed by the Company with the Commission in connection</w:t>
            </w:r>
          </w:p>
        </w:tc>
      </w:tr>
      <w:tr>
        <w:trPr>
          <w:trHeight w:val="234"/>
        </w:trPr>
        <w:tc>
          <w:tcPr>
            <w:tcW w:w="3120" w:type="dxa"/>
            <w:vAlign w:val="bottom"/>
          </w:tcPr>
          <w:p>
            <w:pPr>
              <w:spacing w:after="0"/>
              <w:rPr>
                <w:sz w:val="20"/>
                <w:szCs w:val="20"/>
                <w:color w:val="auto"/>
              </w:rPr>
            </w:pPr>
          </w:p>
        </w:tc>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with its initial public offering of ADSs, or which has otherwise been notified to Shareholders;</w:t>
            </w:r>
          </w:p>
        </w:tc>
      </w:tr>
      <w:tr>
        <w:trPr>
          <w:trHeight w:val="432"/>
        </w:trPr>
        <w:tc>
          <w:tcPr>
            <w:tcW w:w="31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“Compliance Adviser”</w:t>
            </w:r>
          </w:p>
        </w:tc>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shall have the meaning given to it in the Listing Rules;</w:t>
            </w:r>
          </w:p>
        </w:tc>
      </w:tr>
      <w:tr>
        <w:trPr>
          <w:trHeight w:val="410"/>
        </w:trPr>
        <w:tc>
          <w:tcPr>
            <w:tcW w:w="31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the corporate governance committee of the Board established in accordance with Article 121;</w:t>
            </w:r>
          </w:p>
        </w:tc>
      </w:tr>
      <w:tr>
        <w:trPr>
          <w:trHeight w:val="238"/>
        </w:trPr>
        <w:tc>
          <w:tcPr>
            <w:tcW w:w="312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Governance Committee”</w:t>
            </w:r>
          </w:p>
        </w:tc>
        <w:tc>
          <w:tcPr>
            <w:tcW w:w="8120" w:type="dxa"/>
            <w:vAlign w:val="bottom"/>
          </w:tcPr>
          <w:p>
            <w:pPr>
              <w:spacing w:after="0"/>
              <w:rPr>
                <w:sz w:val="20"/>
                <w:szCs w:val="20"/>
                <w:color w:val="auto"/>
              </w:rPr>
            </w:pPr>
          </w:p>
        </w:tc>
      </w:tr>
      <w:tr>
        <w:trPr>
          <w:trHeight w:val="648"/>
        </w:trPr>
        <w:tc>
          <w:tcPr>
            <w:tcW w:w="312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927"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“Corporate Governance</w:t>
            </w:r>
          </w:p>
        </w:tc>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means the corporate governance report to be included in the Company’s annual reports or summary financial</w:t>
            </w:r>
          </w:p>
        </w:tc>
      </w:tr>
      <w:tr>
        <w:trPr>
          <w:trHeight w:val="238"/>
        </w:trPr>
        <w:tc>
          <w:tcPr>
            <w:tcW w:w="316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Report”</w:t>
            </w:r>
          </w:p>
        </w:tc>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reports, if any, in accordance with the Listing Rules;</w:t>
            </w:r>
          </w:p>
        </w:tc>
      </w:tr>
      <w:tr>
        <w:trPr>
          <w:trHeight w:val="432"/>
        </w:trPr>
        <w:tc>
          <w:tcPr>
            <w:tcW w:w="3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means any director from time to time of the Company;</w:t>
            </w:r>
          </w:p>
        </w:tc>
      </w:tr>
      <w:tr>
        <w:trPr>
          <w:trHeight w:val="432"/>
        </w:trPr>
        <w:tc>
          <w:tcPr>
            <w:tcW w:w="3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“Director Holding Vehicle”</w:t>
            </w:r>
          </w:p>
        </w:tc>
        <w:tc>
          <w:tcPr>
            <w:tcW w:w="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means:</w:t>
            </w:r>
          </w:p>
        </w:tc>
        <w:tc>
          <w:tcPr>
            <w:tcW w:w="7320" w:type="dxa"/>
            <w:vAlign w:val="bottom"/>
          </w:tcPr>
          <w:p>
            <w:pPr>
              <w:spacing w:after="0"/>
              <w:rPr>
                <w:sz w:val="24"/>
                <w:szCs w:val="24"/>
                <w:color w:val="auto"/>
              </w:rPr>
            </w:pPr>
          </w:p>
        </w:tc>
      </w:tr>
      <w:tr>
        <w:trPr>
          <w:trHeight w:val="414"/>
        </w:trPr>
        <w:tc>
          <w:tcPr>
            <w:tcW w:w="3160" w:type="dxa"/>
            <w:vAlign w:val="bottom"/>
          </w:tcPr>
          <w:p>
            <w:pPr>
              <w:spacing w:after="0"/>
              <w:rPr>
                <w:sz w:val="24"/>
                <w:szCs w:val="24"/>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w:t>
            </w:r>
          </w:p>
        </w:tc>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partnership of which the Founder is a partner and the terms of which must expressly specify that</w:t>
            </w:r>
          </w:p>
        </w:tc>
      </w:tr>
      <w:tr>
        <w:trPr>
          <w:trHeight w:val="216"/>
        </w:trPr>
        <w:tc>
          <w:tcPr>
            <w:tcW w:w="3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voting rights attached to any and all of the Class B Ordinary Shares held by such partnership are</w:t>
            </w:r>
          </w:p>
        </w:tc>
      </w:tr>
      <w:tr>
        <w:trPr>
          <w:trHeight w:val="234"/>
        </w:trPr>
        <w:tc>
          <w:tcPr>
            <w:tcW w:w="3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solely dictated by the Founder;</w:t>
            </w:r>
          </w:p>
        </w:tc>
      </w:tr>
      <w:tr>
        <w:trPr>
          <w:trHeight w:val="414"/>
        </w:trPr>
        <w:tc>
          <w:tcPr>
            <w:tcW w:w="3160" w:type="dxa"/>
            <w:vAlign w:val="bottom"/>
          </w:tcPr>
          <w:p>
            <w:pPr>
              <w:spacing w:after="0"/>
              <w:rPr>
                <w:sz w:val="24"/>
                <w:szCs w:val="24"/>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w:t>
            </w:r>
          </w:p>
        </w:tc>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trust of which the Founder is a beneficiary and that meets the following conditions: (i) the Founder</w:t>
            </w:r>
          </w:p>
        </w:tc>
      </w:tr>
      <w:tr>
        <w:trPr>
          <w:trHeight w:val="216"/>
        </w:trPr>
        <w:tc>
          <w:tcPr>
            <w:tcW w:w="3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must in substance retain an element of control of the trust and any immediate holding companies of,</w:t>
            </w:r>
          </w:p>
        </w:tc>
      </w:tr>
      <w:tr>
        <w:trPr>
          <w:trHeight w:val="216"/>
        </w:trPr>
        <w:tc>
          <w:tcPr>
            <w:tcW w:w="3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if not permitted in the relevant tax jurisdiction, retain a beneficial interest in any and all of the</w:t>
            </w:r>
          </w:p>
        </w:tc>
      </w:tr>
      <w:tr>
        <w:trPr>
          <w:trHeight w:val="216"/>
        </w:trPr>
        <w:tc>
          <w:tcPr>
            <w:tcW w:w="3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Class B Ordinary Shares held by such trust; and (ii) the purpose of the trust must be for estate</w:t>
            </w:r>
          </w:p>
        </w:tc>
      </w:tr>
      <w:tr>
        <w:trPr>
          <w:trHeight w:val="234"/>
        </w:trPr>
        <w:tc>
          <w:tcPr>
            <w:tcW w:w="3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planning and/or tax planning purposes; or</w:t>
            </w:r>
          </w:p>
        </w:tc>
      </w:tr>
      <w:tr>
        <w:trPr>
          <w:trHeight w:val="414"/>
        </w:trPr>
        <w:tc>
          <w:tcPr>
            <w:tcW w:w="3160" w:type="dxa"/>
            <w:vAlign w:val="bottom"/>
          </w:tcPr>
          <w:p>
            <w:pPr>
              <w:spacing w:after="0"/>
              <w:rPr>
                <w:sz w:val="24"/>
                <w:szCs w:val="24"/>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w:t>
            </w:r>
          </w:p>
        </w:tc>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private company or other vehicle wholly-owned and wholly controlled by the Founder or by a trust</w:t>
            </w:r>
          </w:p>
        </w:tc>
      </w:tr>
      <w:tr>
        <w:trPr>
          <w:trHeight w:val="234"/>
        </w:trPr>
        <w:tc>
          <w:tcPr>
            <w:tcW w:w="3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referred to in paragraph (b) above;</w:t>
            </w:r>
          </w:p>
        </w:tc>
      </w:tr>
      <w:tr>
        <w:trPr>
          <w:trHeight w:val="414"/>
        </w:trPr>
        <w:tc>
          <w:tcPr>
            <w:tcW w:w="3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“Designated Stock Exchange”</w:t>
            </w:r>
          </w:p>
        </w:tc>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means (i) the stock exchange in the United States on which any Shares or ADSs are listed for trading or</w:t>
            </w:r>
          </w:p>
        </w:tc>
      </w:tr>
      <w:tr>
        <w:trPr>
          <w:trHeight w:val="234"/>
        </w:trPr>
        <w:tc>
          <w:tcPr>
            <w:tcW w:w="3160" w:type="dxa"/>
            <w:vAlign w:val="bottom"/>
          </w:tcPr>
          <w:p>
            <w:pPr>
              <w:spacing w:after="0"/>
              <w:rPr>
                <w:sz w:val="20"/>
                <w:szCs w:val="20"/>
                <w:color w:val="auto"/>
              </w:rPr>
            </w:pPr>
          </w:p>
        </w:tc>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(ii) The Stock Exchange of Hong Kong Limited on which any Shares are listed for trading;</w:t>
            </w:r>
          </w:p>
        </w:tc>
      </w:tr>
      <w:tr>
        <w:trPr>
          <w:trHeight w:val="410"/>
        </w:trPr>
        <w:tc>
          <w:tcPr>
            <w:tcW w:w="3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“Designated Stock Exchange</w:t>
            </w:r>
          </w:p>
        </w:tc>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means the relevant code, rules and regulations, as amended, from time to time, applicable as a result of the</w:t>
            </w:r>
          </w:p>
        </w:tc>
      </w:tr>
      <w:tr>
        <w:trPr>
          <w:trHeight w:val="220"/>
        </w:trPr>
        <w:tc>
          <w:tcPr>
            <w:tcW w:w="316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Rules”</w:t>
            </w:r>
          </w:p>
        </w:tc>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original and continued listing of any Shares or ADSs on any Designated Stock Exchange, and for the</w:t>
            </w:r>
          </w:p>
        </w:tc>
      </w:tr>
      <w:tr>
        <w:trPr>
          <w:trHeight w:val="234"/>
        </w:trPr>
        <w:tc>
          <w:tcPr>
            <w:tcW w:w="3160" w:type="dxa"/>
            <w:vAlign w:val="bottom"/>
          </w:tcPr>
          <w:p>
            <w:pPr>
              <w:spacing w:after="0"/>
              <w:rPr>
                <w:sz w:val="20"/>
                <w:szCs w:val="20"/>
                <w:color w:val="auto"/>
              </w:rPr>
            </w:pPr>
          </w:p>
        </w:tc>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avoidance of doubt, include the Listing Rules;</w:t>
            </w:r>
          </w:p>
        </w:tc>
      </w:tr>
      <w:tr>
        <w:trPr>
          <w:trHeight w:val="414"/>
        </w:trPr>
        <w:tc>
          <w:tcPr>
            <w:tcW w:w="3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“electronic”</w:t>
            </w:r>
          </w:p>
        </w:tc>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has the meaning given to it in the Electronic Transactions Act and any amendment thereto or re-enactments</w:t>
            </w:r>
          </w:p>
        </w:tc>
      </w:tr>
      <w:tr>
        <w:trPr>
          <w:trHeight w:val="216"/>
        </w:trPr>
        <w:tc>
          <w:tcPr>
            <w:tcW w:w="3160" w:type="dxa"/>
            <w:vAlign w:val="bottom"/>
          </w:tcPr>
          <w:p>
            <w:pPr>
              <w:spacing w:after="0"/>
              <w:rPr>
                <w:sz w:val="18"/>
                <w:szCs w:val="18"/>
                <w:color w:val="auto"/>
              </w:rPr>
            </w:pPr>
          </w:p>
        </w:tc>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thereof for the time being in force and includes every other law incorporated therewith or substituted</w:t>
            </w:r>
          </w:p>
        </w:tc>
      </w:tr>
      <w:tr>
        <w:trPr>
          <w:trHeight w:val="234"/>
        </w:trPr>
        <w:tc>
          <w:tcPr>
            <w:tcW w:w="3160" w:type="dxa"/>
            <w:vAlign w:val="bottom"/>
          </w:tcPr>
          <w:p>
            <w:pPr>
              <w:spacing w:after="0"/>
              <w:rPr>
                <w:sz w:val="20"/>
                <w:szCs w:val="20"/>
                <w:color w:val="auto"/>
              </w:rPr>
            </w:pPr>
          </w:p>
        </w:tc>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therefor;</w:t>
            </w:r>
          </w:p>
        </w:tc>
      </w:tr>
      <w:tr>
        <w:trPr>
          <w:trHeight w:val="414"/>
        </w:trPr>
        <w:tc>
          <w:tcPr>
            <w:tcW w:w="3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“electronic communication”</w:t>
            </w:r>
          </w:p>
        </w:tc>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means electronic posting to the Company’s Website, transmission to any number, address or internet website</w:t>
            </w:r>
          </w:p>
        </w:tc>
      </w:tr>
      <w:tr>
        <w:trPr>
          <w:trHeight w:val="216"/>
        </w:trPr>
        <w:tc>
          <w:tcPr>
            <w:tcW w:w="3160" w:type="dxa"/>
            <w:vAlign w:val="bottom"/>
          </w:tcPr>
          <w:p>
            <w:pPr>
              <w:spacing w:after="0"/>
              <w:rPr>
                <w:sz w:val="18"/>
                <w:szCs w:val="18"/>
                <w:color w:val="auto"/>
              </w:rPr>
            </w:pPr>
          </w:p>
        </w:tc>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or other electronic delivery methods as otherwise decided and approved by not less than two-thirds of the</w:t>
            </w:r>
          </w:p>
        </w:tc>
      </w:tr>
      <w:tr>
        <w:trPr>
          <w:trHeight w:val="234"/>
        </w:trPr>
        <w:tc>
          <w:tcPr>
            <w:tcW w:w="3160" w:type="dxa"/>
            <w:vAlign w:val="bottom"/>
          </w:tcPr>
          <w:p>
            <w:pPr>
              <w:spacing w:after="0"/>
              <w:rPr>
                <w:sz w:val="20"/>
                <w:szCs w:val="20"/>
                <w:color w:val="auto"/>
              </w:rPr>
            </w:pPr>
          </w:p>
        </w:tc>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vote of the Board;</w:t>
            </w:r>
          </w:p>
        </w:tc>
      </w:tr>
      <w:tr>
        <w:trPr>
          <w:trHeight w:val="648"/>
        </w:trPr>
        <w:tc>
          <w:tcPr>
            <w:tcW w:w="3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900"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“Electronic Transactions Act”</w:t>
            </w:r>
          </w:p>
        </w:tc>
        <w:tc>
          <w:tcPr>
            <w:tcW w:w="8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means the Electronic Transactions Act (As Revised) of the Cayman Islands and any statutory amendment or</w:t>
            </w:r>
          </w:p>
        </w:tc>
      </w:tr>
      <w:tr>
        <w:trPr>
          <w:trHeight w:val="234"/>
        </w:trPr>
        <w:tc>
          <w:tcPr>
            <w:tcW w:w="2540" w:type="dxa"/>
            <w:vAlign w:val="bottom"/>
          </w:tcPr>
          <w:p>
            <w:pPr>
              <w:spacing w:after="0"/>
              <w:rPr>
                <w:sz w:val="20"/>
                <w:szCs w:val="20"/>
                <w:color w:val="auto"/>
              </w:rPr>
            </w:pPr>
          </w:p>
        </w:tc>
        <w:tc>
          <w:tcPr>
            <w:tcW w:w="8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re-enactment thereof;</w:t>
            </w:r>
          </w:p>
        </w:tc>
      </w:tr>
      <w:tr>
        <w:trPr>
          <w:trHeight w:val="445"/>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“Founder”</w:t>
            </w:r>
          </w:p>
        </w:tc>
        <w:tc>
          <w:tcPr>
            <w:tcW w:w="8040" w:type="dxa"/>
            <w:vAlign w:val="bottom"/>
            <w:gridSpan w:val="2"/>
          </w:tcPr>
          <w:p>
            <w:pPr>
              <w:ind w:left="180"/>
              <w:spacing w:after="0" w:line="219" w:lineRule="exact"/>
              <w:rPr>
                <w:sz w:val="20"/>
                <w:szCs w:val="20"/>
                <w:color w:val="auto"/>
              </w:rPr>
            </w:pPr>
            <w:r>
              <w:rPr>
                <w:rFonts w:ascii="Times New Roman" w:cs="Times New Roman" w:eastAsia="Times New Roman" w:hAnsi="Times New Roman"/>
                <w:sz w:val="18"/>
                <w:szCs w:val="18"/>
                <w:color w:val="auto"/>
              </w:rPr>
              <w:t>means Mr. Xiang Li (</w:t>
            </w:r>
            <w:r>
              <w:rPr>
                <w:rFonts w:ascii="SimSun" w:cs="SimSun" w:eastAsia="SimSun" w:hAnsi="SimSun"/>
                <w:sz w:val="18"/>
                <w:szCs w:val="18"/>
                <w:color w:val="auto"/>
              </w:rPr>
              <w:t>李想</w:t>
            </w:r>
            <w:r>
              <w:rPr>
                <w:rFonts w:ascii="Times New Roman" w:cs="Times New Roman" w:eastAsia="Times New Roman" w:hAnsi="Times New Roman"/>
                <w:sz w:val="18"/>
                <w:szCs w:val="18"/>
                <w:color w:val="auto"/>
              </w:rPr>
              <w:t>);</w:t>
            </w:r>
          </w:p>
        </w:tc>
      </w:tr>
      <w:tr>
        <w:trPr>
          <w:trHeight w:val="427"/>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“electronic record”</w:t>
            </w:r>
          </w:p>
        </w:tc>
        <w:tc>
          <w:tcPr>
            <w:tcW w:w="8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has the meaning given to it in the Electronic Transactions Act and any amendment thereto or re-enactments</w:t>
            </w:r>
          </w:p>
        </w:tc>
      </w:tr>
      <w:tr>
        <w:trPr>
          <w:trHeight w:val="216"/>
        </w:trPr>
        <w:tc>
          <w:tcPr>
            <w:tcW w:w="2540" w:type="dxa"/>
            <w:vAlign w:val="bottom"/>
          </w:tcPr>
          <w:p>
            <w:pPr>
              <w:spacing w:after="0"/>
              <w:rPr>
                <w:sz w:val="18"/>
                <w:szCs w:val="18"/>
                <w:color w:val="auto"/>
              </w:rPr>
            </w:pPr>
          </w:p>
        </w:tc>
        <w:tc>
          <w:tcPr>
            <w:tcW w:w="8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thereof for the time being in force and includes every other law incorporated therewith or substituted</w:t>
            </w:r>
          </w:p>
        </w:tc>
      </w:tr>
      <w:tr>
        <w:trPr>
          <w:trHeight w:val="234"/>
        </w:trPr>
        <w:tc>
          <w:tcPr>
            <w:tcW w:w="2540" w:type="dxa"/>
            <w:vAlign w:val="bottom"/>
          </w:tcPr>
          <w:p>
            <w:pPr>
              <w:spacing w:after="0"/>
              <w:rPr>
                <w:sz w:val="20"/>
                <w:szCs w:val="20"/>
                <w:color w:val="auto"/>
              </w:rPr>
            </w:pPr>
          </w:p>
        </w:tc>
        <w:tc>
          <w:tcPr>
            <w:tcW w:w="8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therefor;</w:t>
            </w:r>
          </w:p>
        </w:tc>
      </w:tr>
      <w:tr>
        <w:trPr>
          <w:trHeight w:val="414"/>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“Family Member”</w:t>
            </w:r>
          </w:p>
        </w:tc>
        <w:tc>
          <w:tcPr>
            <w:tcW w:w="8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means a person’s spouse, parents, children, grandchildren or other lineal descendants, siblings, mother-in-</w:t>
            </w:r>
          </w:p>
        </w:tc>
      </w:tr>
      <w:tr>
        <w:trPr>
          <w:trHeight w:val="234"/>
        </w:trPr>
        <w:tc>
          <w:tcPr>
            <w:tcW w:w="2540" w:type="dxa"/>
            <w:vAlign w:val="bottom"/>
          </w:tcPr>
          <w:p>
            <w:pPr>
              <w:spacing w:after="0"/>
              <w:rPr>
                <w:sz w:val="20"/>
                <w:szCs w:val="20"/>
                <w:color w:val="auto"/>
              </w:rPr>
            </w:pPr>
          </w:p>
        </w:tc>
        <w:tc>
          <w:tcPr>
            <w:tcW w:w="8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law, father-in-law, brothers-in-law, and sisters-in-law;</w:t>
            </w:r>
          </w:p>
        </w:tc>
      </w:tr>
      <w:tr>
        <w:trPr>
          <w:trHeight w:val="432"/>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“Hong Kong”</w:t>
            </w:r>
          </w:p>
        </w:tc>
        <w:tc>
          <w:tcPr>
            <w:tcW w:w="8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means the Hong Kong Special Administrative Region of the People’s Republic of China;</w:t>
            </w:r>
          </w:p>
        </w:tc>
      </w:tr>
      <w:tr>
        <w:trPr>
          <w:trHeight w:val="410"/>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“Independent Non-executive</w:t>
            </w:r>
          </w:p>
        </w:tc>
        <w:tc>
          <w:tcPr>
            <w:tcW w:w="8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means a Director recognised as such by the relevant code, rules and regulations applicable to the listing of</w:t>
            </w:r>
          </w:p>
        </w:tc>
      </w:tr>
      <w:tr>
        <w:trPr>
          <w:trHeight w:val="238"/>
        </w:trPr>
        <w:tc>
          <w:tcPr>
            <w:tcW w:w="25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8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on The Stock Exchange of Hong Kong Limited;</w:t>
            </w:r>
          </w:p>
        </w:tc>
      </w:tr>
      <w:tr>
        <w:trPr>
          <w:trHeight w:val="414"/>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“Listing Rules”</w:t>
            </w:r>
          </w:p>
        </w:tc>
        <w:tc>
          <w:tcPr>
            <w:tcW w:w="8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means the Rules Governing the Listing of Securities on The Stock Exchange of Hong Kong Limited as</w:t>
            </w:r>
          </w:p>
        </w:tc>
      </w:tr>
      <w:tr>
        <w:trPr>
          <w:trHeight w:val="234"/>
        </w:trPr>
        <w:tc>
          <w:tcPr>
            <w:tcW w:w="2540" w:type="dxa"/>
            <w:vAlign w:val="bottom"/>
          </w:tcPr>
          <w:p>
            <w:pPr>
              <w:spacing w:after="0"/>
              <w:rPr>
                <w:sz w:val="20"/>
                <w:szCs w:val="20"/>
                <w:color w:val="auto"/>
              </w:rPr>
            </w:pPr>
          </w:p>
        </w:tc>
        <w:tc>
          <w:tcPr>
            <w:tcW w:w="8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amended from time to time;</w:t>
            </w:r>
          </w:p>
        </w:tc>
      </w:tr>
      <w:tr>
        <w:trPr>
          <w:trHeight w:val="432"/>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“Memorandum of Association”</w:t>
            </w:r>
          </w:p>
        </w:tc>
        <w:tc>
          <w:tcPr>
            <w:tcW w:w="8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means the memorandum of association of the Company, as amended or substituted from time to time;</w:t>
            </w:r>
          </w:p>
        </w:tc>
      </w:tr>
      <w:tr>
        <w:trPr>
          <w:trHeight w:val="410"/>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“Nominating and Corporate</w:t>
            </w:r>
          </w:p>
        </w:tc>
        <w:tc>
          <w:tcPr>
            <w:tcW w:w="8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shall have the meaning ascribed to it under Article 116;</w:t>
            </w:r>
          </w:p>
        </w:tc>
      </w:tr>
      <w:tr>
        <w:trPr>
          <w:trHeight w:val="238"/>
        </w:trPr>
        <w:tc>
          <w:tcPr>
            <w:tcW w:w="25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Governance Committee”</w:t>
            </w:r>
          </w:p>
        </w:tc>
        <w:tc>
          <w:tcPr>
            <w:tcW w:w="580" w:type="dxa"/>
            <w:vAlign w:val="bottom"/>
          </w:tcPr>
          <w:p>
            <w:pPr>
              <w:spacing w:after="0"/>
              <w:rPr>
                <w:sz w:val="20"/>
                <w:szCs w:val="20"/>
                <w:color w:val="auto"/>
              </w:rPr>
            </w:pPr>
          </w:p>
        </w:tc>
        <w:tc>
          <w:tcPr>
            <w:tcW w:w="7460" w:type="dxa"/>
            <w:vAlign w:val="bottom"/>
          </w:tcPr>
          <w:p>
            <w:pPr>
              <w:spacing w:after="0"/>
              <w:rPr>
                <w:sz w:val="20"/>
                <w:szCs w:val="20"/>
                <w:color w:val="auto"/>
              </w:rPr>
            </w:pPr>
          </w:p>
        </w:tc>
      </w:tr>
      <w:tr>
        <w:trPr>
          <w:trHeight w:val="432"/>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“Nomination Committee”</w:t>
            </w:r>
          </w:p>
        </w:tc>
        <w:tc>
          <w:tcPr>
            <w:tcW w:w="8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means the nomination committee of the Board established in accordance with Article 116;</w:t>
            </w:r>
          </w:p>
        </w:tc>
      </w:tr>
      <w:tr>
        <w:trPr>
          <w:trHeight w:val="432"/>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“Ordinary Resolution”</w:t>
            </w:r>
          </w:p>
        </w:tc>
        <w:tc>
          <w:tcPr>
            <w:tcW w:w="8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means a resolution:</w:t>
            </w:r>
          </w:p>
        </w:tc>
      </w:tr>
      <w:tr>
        <w:trPr>
          <w:trHeight w:val="414"/>
        </w:trPr>
        <w:tc>
          <w:tcPr>
            <w:tcW w:w="2540" w:type="dxa"/>
            <w:vAlign w:val="bottom"/>
          </w:tcPr>
          <w:p>
            <w:pPr>
              <w:spacing w:after="0"/>
              <w:rPr>
                <w:sz w:val="24"/>
                <w:szCs w:val="24"/>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passed by a simple majority of the votes cast by such Shareholders as, being entitled to do so, vote in</w:t>
            </w:r>
          </w:p>
        </w:tc>
      </w:tr>
      <w:tr>
        <w:trPr>
          <w:trHeight w:val="216"/>
        </w:trPr>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person or, where proxies are allowed, by proxy, or, in the case of corporations, by their duly</w:t>
            </w:r>
          </w:p>
        </w:tc>
      </w:tr>
      <w:tr>
        <w:trPr>
          <w:trHeight w:val="216"/>
        </w:trPr>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authorized representatives, at a general meeting of the Company held in accordance with these</w:t>
            </w:r>
          </w:p>
        </w:tc>
      </w:tr>
      <w:tr>
        <w:trPr>
          <w:trHeight w:val="234"/>
        </w:trPr>
        <w:tc>
          <w:tcPr>
            <w:tcW w:w="2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Articles; or</w:t>
            </w:r>
          </w:p>
        </w:tc>
      </w:tr>
      <w:tr>
        <w:trPr>
          <w:trHeight w:val="414"/>
        </w:trPr>
        <w:tc>
          <w:tcPr>
            <w:tcW w:w="2540" w:type="dxa"/>
            <w:vAlign w:val="bottom"/>
          </w:tcPr>
          <w:p>
            <w:pPr>
              <w:spacing w:after="0"/>
              <w:rPr>
                <w:sz w:val="24"/>
                <w:szCs w:val="24"/>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w:t>
            </w:r>
          </w:p>
        </w:tc>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approved in writing by all of the Shareholders entitled to vote at a general meeting of the Company</w:t>
            </w:r>
          </w:p>
        </w:tc>
      </w:tr>
      <w:tr>
        <w:trPr>
          <w:trHeight w:val="234"/>
        </w:trPr>
        <w:tc>
          <w:tcPr>
            <w:tcW w:w="2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 one or more instruments each signed by one or more of the Shareholders and the effective date of</w:t>
            </w:r>
          </w:p>
        </w:tc>
      </w:tr>
    </w:tbl>
    <w:p>
      <w:pPr>
        <w:ind w:left="3300"/>
        <w:spacing w:after="0" w:line="260" w:lineRule="auto"/>
        <w:rPr>
          <w:sz w:val="20"/>
          <w:szCs w:val="20"/>
          <w:color w:val="auto"/>
        </w:rPr>
      </w:pPr>
      <w:r>
        <w:rPr>
          <w:rFonts w:ascii="Times New Roman" w:cs="Times New Roman" w:eastAsia="Times New Roman" w:hAnsi="Times New Roman"/>
          <w:sz w:val="18"/>
          <w:szCs w:val="18"/>
          <w:color w:val="auto"/>
        </w:rPr>
        <w:t>the resolution so adopted shall be the date on which the instrument, or the last of such instruments, if more than one, is executed;</w:t>
      </w:r>
    </w:p>
    <w:p>
      <w:pPr>
        <w:spacing w:after="0" w:line="39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31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“Ordinary Share”</w:t>
            </w: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means a Class A Ordinary Share or a Class B Ordinary Share;</w:t>
            </w:r>
          </w:p>
        </w:tc>
      </w:tr>
      <w:tr>
        <w:trPr>
          <w:trHeight w:val="432"/>
        </w:trPr>
        <w:tc>
          <w:tcPr>
            <w:tcW w:w="31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“paid up”</w:t>
            </w: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means paid up as to the par value in respect of the issue of any Shares and includes credited as paid up;</w:t>
            </w:r>
          </w:p>
        </w:tc>
      </w:tr>
      <w:tr>
        <w:trPr>
          <w:trHeight w:val="414"/>
        </w:trPr>
        <w:tc>
          <w:tcPr>
            <w:tcW w:w="31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means any natural person, firm, company, joint venture, partnership, corporation, association, or other entity</w:t>
            </w:r>
          </w:p>
        </w:tc>
      </w:tr>
      <w:tr>
        <w:trPr>
          <w:trHeight w:val="234"/>
        </w:trPr>
        <w:tc>
          <w:tcPr>
            <w:tcW w:w="3140" w:type="dxa"/>
            <w:vAlign w:val="bottom"/>
          </w:tcPr>
          <w:p>
            <w:pPr>
              <w:spacing w:after="0"/>
              <w:rPr>
                <w:sz w:val="20"/>
                <w:szCs w:val="20"/>
                <w:color w:val="auto"/>
              </w:rPr>
            </w:pP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(whether or not having a separate legal personality) or any of them as the context so requires;</w:t>
            </w:r>
          </w:p>
        </w:tc>
      </w:tr>
      <w:tr>
        <w:trPr>
          <w:trHeight w:val="414"/>
        </w:trPr>
        <w:tc>
          <w:tcPr>
            <w:tcW w:w="31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“Present”</w:t>
            </w: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means, in respect of any Person, such Person’s presence at a general meeting of Shareholders, which may be</w:t>
            </w:r>
          </w:p>
        </w:tc>
      </w:tr>
      <w:tr>
        <w:trPr>
          <w:trHeight w:val="216"/>
        </w:trPr>
        <w:tc>
          <w:tcPr>
            <w:tcW w:w="3140" w:type="dxa"/>
            <w:vAlign w:val="bottom"/>
          </w:tcPr>
          <w:p>
            <w:pPr>
              <w:spacing w:after="0"/>
              <w:rPr>
                <w:sz w:val="18"/>
                <w:szCs w:val="18"/>
                <w:color w:val="auto"/>
              </w:rPr>
            </w:pP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satisfied by means of such Person (or, in the case of any Shareholder, a proxy which has been validly</w:t>
            </w:r>
          </w:p>
        </w:tc>
      </w:tr>
      <w:tr>
        <w:trPr>
          <w:trHeight w:val="216"/>
        </w:trPr>
        <w:tc>
          <w:tcPr>
            <w:tcW w:w="3140" w:type="dxa"/>
            <w:vAlign w:val="bottom"/>
          </w:tcPr>
          <w:p>
            <w:pPr>
              <w:spacing w:after="0"/>
              <w:rPr>
                <w:sz w:val="18"/>
                <w:szCs w:val="18"/>
                <w:color w:val="auto"/>
              </w:rPr>
            </w:pP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appointed by such Shareholder in accordance with these Articles) being: (a) physically present at the</w:t>
            </w:r>
          </w:p>
        </w:tc>
      </w:tr>
      <w:tr>
        <w:trPr>
          <w:trHeight w:val="216"/>
        </w:trPr>
        <w:tc>
          <w:tcPr>
            <w:tcW w:w="3140" w:type="dxa"/>
            <w:vAlign w:val="bottom"/>
          </w:tcPr>
          <w:p>
            <w:pPr>
              <w:spacing w:after="0"/>
              <w:rPr>
                <w:sz w:val="18"/>
                <w:szCs w:val="18"/>
                <w:color w:val="auto"/>
              </w:rPr>
            </w:pP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meeting; or (b) in the case of any meeting at which Communication Facilities are permitted in accordance</w:t>
            </w:r>
          </w:p>
        </w:tc>
      </w:tr>
      <w:tr>
        <w:trPr>
          <w:trHeight w:val="216"/>
        </w:trPr>
        <w:tc>
          <w:tcPr>
            <w:tcW w:w="3140" w:type="dxa"/>
            <w:vAlign w:val="bottom"/>
          </w:tcPr>
          <w:p>
            <w:pPr>
              <w:spacing w:after="0"/>
              <w:rPr>
                <w:sz w:val="18"/>
                <w:szCs w:val="18"/>
                <w:color w:val="auto"/>
              </w:rPr>
            </w:pP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with  these  Articles,  including  any  Virtual  Meeting, connected by means of the use of such</w:t>
            </w:r>
          </w:p>
        </w:tc>
      </w:tr>
      <w:tr>
        <w:trPr>
          <w:trHeight w:val="234"/>
        </w:trPr>
        <w:tc>
          <w:tcPr>
            <w:tcW w:w="3140" w:type="dxa"/>
            <w:vAlign w:val="bottom"/>
          </w:tcPr>
          <w:p>
            <w:pPr>
              <w:spacing w:after="0"/>
              <w:rPr>
                <w:sz w:val="20"/>
                <w:szCs w:val="20"/>
                <w:color w:val="auto"/>
              </w:rPr>
            </w:pP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Communication Facilities;</w:t>
            </w:r>
          </w:p>
        </w:tc>
      </w:tr>
      <w:tr>
        <w:trPr>
          <w:trHeight w:val="432"/>
        </w:trPr>
        <w:tc>
          <w:tcPr>
            <w:tcW w:w="31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“Register”</w:t>
            </w: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means the register of Members of the Company maintained in accordance with the Companies Act;</w:t>
            </w:r>
          </w:p>
        </w:tc>
      </w:tr>
      <w:tr>
        <w:trPr>
          <w:trHeight w:val="432"/>
        </w:trPr>
        <w:tc>
          <w:tcPr>
            <w:tcW w:w="31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“Registered Office”</w:t>
            </w: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means the registered office of the Company as required by the Companies Act;</w:t>
            </w:r>
          </w:p>
        </w:tc>
      </w:tr>
      <w:tr>
        <w:trPr>
          <w:trHeight w:val="432"/>
        </w:trPr>
        <w:tc>
          <w:tcPr>
            <w:tcW w:w="31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“Seal”</w:t>
            </w: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means the common seal of the Company (if adopted) including any facsimile thereof;</w:t>
            </w:r>
          </w:p>
        </w:tc>
      </w:tr>
      <w:tr>
        <w:trPr>
          <w:trHeight w:val="432"/>
        </w:trPr>
        <w:tc>
          <w:tcPr>
            <w:tcW w:w="31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“Secretary”</w:t>
            </w: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means any Person appointed by the Directors to perform any of the duties of the secretary of the Company;</w:t>
            </w:r>
          </w:p>
        </w:tc>
      </w:tr>
      <w:tr>
        <w:trPr>
          <w:trHeight w:val="414"/>
        </w:trPr>
        <w:tc>
          <w:tcPr>
            <w:tcW w:w="31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“Securities Act”</w:t>
            </w: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means the Securities Act of 1933 of the United States of America, as amended, or any similar federal statute</w:t>
            </w:r>
          </w:p>
        </w:tc>
      </w:tr>
      <w:tr>
        <w:trPr>
          <w:trHeight w:val="234"/>
        </w:trPr>
        <w:tc>
          <w:tcPr>
            <w:tcW w:w="3140" w:type="dxa"/>
            <w:vAlign w:val="bottom"/>
          </w:tcPr>
          <w:p>
            <w:pPr>
              <w:spacing w:after="0"/>
              <w:rPr>
                <w:sz w:val="20"/>
                <w:szCs w:val="20"/>
                <w:color w:val="auto"/>
              </w:rPr>
            </w:pP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and the rules and regulations of the Commission thereunder, all as the same shall be in effect at the time;</w:t>
            </w:r>
          </w:p>
        </w:tc>
      </w:tr>
      <w:tr>
        <w:trPr>
          <w:trHeight w:val="414"/>
        </w:trPr>
        <w:tc>
          <w:tcPr>
            <w:tcW w:w="31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means a share in the share capital of the Company. All references to “Shares” herein shall be deemed to be</w:t>
            </w:r>
          </w:p>
        </w:tc>
      </w:tr>
      <w:tr>
        <w:trPr>
          <w:trHeight w:val="216"/>
        </w:trPr>
        <w:tc>
          <w:tcPr>
            <w:tcW w:w="3140" w:type="dxa"/>
            <w:vAlign w:val="bottom"/>
          </w:tcPr>
          <w:p>
            <w:pPr>
              <w:spacing w:after="0"/>
              <w:rPr>
                <w:sz w:val="18"/>
                <w:szCs w:val="18"/>
                <w:color w:val="auto"/>
              </w:rPr>
            </w:pP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Shares of any or all Classes as the context may require. For the avoidance of doubt in these Articles the</w:t>
            </w:r>
          </w:p>
        </w:tc>
      </w:tr>
      <w:tr>
        <w:trPr>
          <w:trHeight w:val="234"/>
        </w:trPr>
        <w:tc>
          <w:tcPr>
            <w:tcW w:w="3140" w:type="dxa"/>
            <w:vAlign w:val="bottom"/>
          </w:tcPr>
          <w:p>
            <w:pPr>
              <w:spacing w:after="0"/>
              <w:rPr>
                <w:sz w:val="20"/>
                <w:szCs w:val="20"/>
                <w:color w:val="auto"/>
              </w:rPr>
            </w:pP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expression “Share” shall include a fraction of a Share;</w:t>
            </w:r>
          </w:p>
        </w:tc>
      </w:tr>
      <w:tr>
        <w:trPr>
          <w:trHeight w:val="432"/>
        </w:trPr>
        <w:tc>
          <w:tcPr>
            <w:tcW w:w="31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“Shareholder” or “Member”</w:t>
            </w: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means a Person who is registered as the holder of one or more Shares in the Register;</w:t>
            </w:r>
          </w:p>
        </w:tc>
      </w:tr>
      <w:tr>
        <w:trPr>
          <w:trHeight w:val="432"/>
        </w:trPr>
        <w:tc>
          <w:tcPr>
            <w:tcW w:w="31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“Share Premium Account”</w:t>
            </w: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means the share premium account established in accordance with these Articles and the Companies Act;</w:t>
            </w:r>
          </w:p>
        </w:tc>
      </w:tr>
      <w:tr>
        <w:trPr>
          <w:trHeight w:val="675"/>
        </w:trPr>
        <w:tc>
          <w:tcPr>
            <w:tcW w:w="314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ind w:left="2440"/>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240"/>
          </w:cols>
          <w:pgMar w:left="320" w:top="900" w:right="339" w:bottom="1440" w:gutter="0" w:footer="0" w:header="0"/>
        </w:sectPr>
      </w:pPr>
    </w:p>
    <w:bookmarkStart w:id="9" w:name="page10"/>
    <w:bookmarkEnd w:id="9"/>
    <w:p>
      <w:pPr>
        <w:ind w:left="652"/>
        <w:spacing w:after="0"/>
        <w:rPr>
          <w:sz w:val="20"/>
          <w:szCs w:val="20"/>
          <w:color w:val="auto"/>
        </w:rPr>
      </w:pPr>
      <w:r>
        <w:rPr>
          <w:rFonts w:ascii="Times New Roman" w:cs="Times New Roman" w:eastAsia="Times New Roman" w:hAnsi="Times New Roman"/>
          <w:sz w:val="17"/>
          <w:szCs w:val="17"/>
          <w:b w:val="1"/>
          <w:bCs w:val="1"/>
          <w:color w:val="auto"/>
        </w:rPr>
        <w:t>“signed”</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means bearing a signature or representation of a signature affixed by mechanical means or an electronic symbol or process attached to or logically associated with an electronic communication and executed or adopted by a Person with the intent to sign the electronic communication;</w:t>
      </w:r>
    </w:p>
    <w:p>
      <w:pPr>
        <w:spacing w:after="0" w:line="172" w:lineRule="exact"/>
        <w:rPr>
          <w:sz w:val="20"/>
          <w:szCs w:val="20"/>
          <w:color w:val="auto"/>
        </w:rPr>
      </w:pPr>
    </w:p>
    <w:p>
      <w:pPr>
        <w:sectPr>
          <w:pgSz w:w="11900" w:h="16838" w:orient="portrait"/>
          <w:cols w:equalWidth="0" w:num="2">
            <w:col w:w="2652" w:space="720"/>
            <w:col w:w="7860"/>
          </w:cols>
          <w:pgMar w:left="328" w:top="927" w:right="339" w:bottom="1440" w:gutter="0" w:footer="0" w:header="0"/>
        </w:sectPr>
      </w:pPr>
    </w:p>
    <w:p>
      <w:pPr>
        <w:ind w:left="652"/>
        <w:spacing w:after="0"/>
        <w:rPr>
          <w:sz w:val="20"/>
          <w:szCs w:val="20"/>
          <w:color w:val="auto"/>
        </w:rPr>
      </w:pPr>
      <w:r>
        <w:rPr>
          <w:rFonts w:ascii="Times New Roman" w:cs="Times New Roman" w:eastAsia="Times New Roman" w:hAnsi="Times New Roman"/>
          <w:sz w:val="18"/>
          <w:szCs w:val="18"/>
          <w:b w:val="1"/>
          <w:bCs w:val="1"/>
          <w:color w:val="auto"/>
        </w:rPr>
        <w:t>“Special Resolution”</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Times New Roman" w:cs="Times New Roman" w:eastAsia="Times New Roman" w:hAnsi="Times New Roman"/>
          <w:sz w:val="18"/>
          <w:szCs w:val="18"/>
          <w:color w:val="auto"/>
        </w:rPr>
        <w:t>shall have the same meaning as ascribed thereto in the Companies Act and for this purpose, the requisite majority shall be not less than three-fourths of the votes of such Members as, being entitled to do so, vote in person or, where proxies are allowed, by proxy or, in the case of corporations, by their duly authorized representatives, at a general meeting of which notice specifying the intention to propose the resolution as a special resolution has been duly given, and shall include a special resolution passed pursuant to Article 93;</w:t>
      </w:r>
    </w:p>
    <w:p>
      <w:pPr>
        <w:spacing w:after="0" w:line="179" w:lineRule="exact"/>
        <w:rPr>
          <w:sz w:val="20"/>
          <w:szCs w:val="20"/>
          <w:color w:val="auto"/>
        </w:rPr>
      </w:pPr>
    </w:p>
    <w:p>
      <w:pPr>
        <w:sectPr>
          <w:pgSz w:w="11900" w:h="16838" w:orient="portrait"/>
          <w:cols w:equalWidth="0" w:num="2">
            <w:col w:w="2652" w:space="720"/>
            <w:col w:w="7860"/>
          </w:cols>
          <w:pgMar w:left="328" w:top="927" w:right="339" w:bottom="1440" w:gutter="0" w:footer="0" w:header="0"/>
          <w:type w:val="continuous"/>
        </w:sectPr>
      </w:pPr>
    </w:p>
    <w:p>
      <w:pPr>
        <w:ind w:left="652"/>
        <w:spacing w:after="0"/>
        <w:rPr>
          <w:sz w:val="20"/>
          <w:szCs w:val="20"/>
          <w:color w:val="auto"/>
        </w:rPr>
      </w:pPr>
      <w:r>
        <w:rPr>
          <w:rFonts w:ascii="Times New Roman" w:cs="Times New Roman" w:eastAsia="Times New Roman" w:hAnsi="Times New Roman"/>
          <w:sz w:val="17"/>
          <w:szCs w:val="17"/>
          <w:b w:val="1"/>
          <w:bCs w:val="1"/>
          <w:color w:val="auto"/>
        </w:rPr>
        <w:t>“Takeovers Code”</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means The Codes on Takeovers and Mergers and Share Buy-backs issued by the Securities and Future Commission of Hong Kong;</w:t>
      </w:r>
    </w:p>
    <w:p>
      <w:pPr>
        <w:spacing w:after="0" w:line="158" w:lineRule="exact"/>
        <w:rPr>
          <w:sz w:val="20"/>
          <w:szCs w:val="20"/>
          <w:color w:val="auto"/>
        </w:rPr>
      </w:pPr>
    </w:p>
    <w:p>
      <w:pPr>
        <w:sectPr>
          <w:pgSz w:w="11900" w:h="16838" w:orient="portrait"/>
          <w:cols w:equalWidth="0" w:num="2">
            <w:col w:w="2652" w:space="720"/>
            <w:col w:w="7860"/>
          </w:cols>
          <w:pgMar w:left="328" w:top="927" w:right="339" w:bottom="1440" w:gutter="0" w:footer="0" w:header="0"/>
          <w:type w:val="continuous"/>
        </w:sectPr>
      </w:pPr>
    </w:p>
    <w:p>
      <w:pPr>
        <w:ind w:left="652"/>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means the United States of America, its territories, its possessions and all areas subject to its jurisdiction; and</w:t>
      </w:r>
    </w:p>
    <w:p>
      <w:pPr>
        <w:spacing w:after="0" w:line="158" w:lineRule="exact"/>
        <w:rPr>
          <w:sz w:val="20"/>
          <w:szCs w:val="20"/>
          <w:color w:val="auto"/>
        </w:rPr>
      </w:pPr>
    </w:p>
    <w:p>
      <w:pPr>
        <w:sectPr>
          <w:pgSz w:w="11900" w:h="16838" w:orient="portrait"/>
          <w:cols w:equalWidth="0" w:num="2">
            <w:col w:w="2652" w:space="720"/>
            <w:col w:w="7860"/>
          </w:cols>
          <w:pgMar w:left="328" w:top="927" w:right="339" w:bottom="1440" w:gutter="0" w:footer="0" w:header="0"/>
          <w:type w:val="continuous"/>
        </w:sectPr>
      </w:pPr>
    </w:p>
    <w:p>
      <w:pPr>
        <w:ind w:left="652"/>
        <w:spacing w:after="0"/>
        <w:rPr>
          <w:sz w:val="20"/>
          <w:szCs w:val="20"/>
          <w:color w:val="auto"/>
        </w:rPr>
      </w:pPr>
      <w:r>
        <w:rPr>
          <w:rFonts w:ascii="Times New Roman" w:cs="Times New Roman" w:eastAsia="Times New Roman" w:hAnsi="Times New Roman"/>
          <w:sz w:val="17"/>
          <w:szCs w:val="17"/>
          <w:b w:val="1"/>
          <w:bCs w:val="1"/>
          <w:color w:val="auto"/>
        </w:rPr>
        <w:t>“Virtual Meeting”</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means any general meeting of the Shareholders (or any meeting of the holders of any Class of Shares) at which the Shareholders (and any other permitted participants of such meeting, including without limitation the chairperson of the meeting and any Directors) are permitted to be Present solely by means of Communication Facilities.</w:t>
      </w:r>
    </w:p>
    <w:p>
      <w:pPr>
        <w:spacing w:after="0" w:line="180" w:lineRule="exact"/>
        <w:rPr>
          <w:sz w:val="20"/>
          <w:szCs w:val="20"/>
          <w:color w:val="auto"/>
        </w:rPr>
      </w:pPr>
    </w:p>
    <w:p>
      <w:pPr>
        <w:sectPr>
          <w:pgSz w:w="11900" w:h="16838" w:orient="portrait"/>
          <w:cols w:equalWidth="0" w:num="2">
            <w:col w:w="2652" w:space="720"/>
            <w:col w:w="7860"/>
          </w:cols>
          <w:pgMar w:left="328" w:top="927" w:right="339" w:bottom="1440" w:gutter="0" w:footer="0" w:header="0"/>
          <w:type w:val="continuous"/>
        </w:sectPr>
      </w:pPr>
    </w:p>
    <w:p>
      <w:pPr>
        <w:ind w:left="652" w:hanging="652"/>
        <w:spacing w:after="0"/>
        <w:tabs>
          <w:tab w:leader="none" w:pos="65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Articles, save where the context requires otherwise:</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number shall include the plural number and vice versa;</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masculine gender only shall include the feminine gender and any Person as the context may require;</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“may” shall be construed as permissive and the word “shall” shall be construed as imperative;</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dollar or dollars (or US$) and to a cent or cents is reference to dollars and cents of the United States of America;</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statutory enactment shall include reference to any amendment or re-enactment thereof for the time being in force;</w:t>
      </w:r>
    </w:p>
    <w:p>
      <w:pPr>
        <w:spacing w:after="0" w:line="225"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any determination by the Directors shall be construed as a determination by the Directors in their sole and absolute discretion and shall be applicable either generally or in any particular case;</w:t>
      </w:r>
    </w:p>
    <w:p>
      <w:pPr>
        <w:spacing w:after="0" w:line="37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27" w:right="339" w:bottom="1440" w:gutter="0" w:footer="0" w:header="0"/>
          <w:type w:val="continuous"/>
        </w:sectPr>
      </w:pPr>
    </w:p>
    <w:bookmarkStart w:id="10" w:name="page11"/>
    <w:bookmarkEnd w:id="10"/>
    <w:p>
      <w:pPr>
        <w:jc w:val="both"/>
        <w:ind w:left="1300" w:hanging="644"/>
        <w:spacing w:after="0" w:line="266"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“in writing” shall be construed as written or represented by any means reproducible in writing, including any form of print, lithograph, email, facsimile, photograph or telex or represented by any other substitute or format for storage or transmission for writing including in the form of an electronic record or partly one and partly another;</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as to delivery under the Articles include delivery in the form of an electronic record or an electronic communication;</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as to execution or signature under the Articles, including the execution of the Articles themselves, can be satisfied in the form of an electronic signature as defined in the Electronic Transaction Act;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8 and 19(3) of the Electronic Transactions Act shall not apply.</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last two preceding Articles, any words defined in the Companies Act shall, if not inconsistent with the subject or context, bear the same meaning in these Articles.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w:t>
      </w:r>
    </w:p>
    <w:p>
      <w:pPr>
        <w:spacing w:after="0" w:line="229"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the Company may be conducted as the Directors see fit.</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shall be at such address in the Cayman Islands as the Directors may from time to time determine. The Company may in addition establish and maintain such other offices and places of business and agencies in such places as the Directors may from time to time determine.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incurred in the formation of the Company and in connection with the offer for subscription and issue of Shares shall be paid by the Company. Such expenses may be amortized over such period as the Directors may determine and the amount so paid shall be charged against income and/or capital in the accounts of the Company as the Directors shall determine.</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keep, or cause to be kept, the Register at such place as the Directors may from time to time determine and, in the absence of any such determination, the Register shall be kept at the Registered Office.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229" w:lineRule="exact"/>
        <w:rPr>
          <w:sz w:val="20"/>
          <w:szCs w:val="20"/>
          <w:color w:val="auto"/>
        </w:rPr>
      </w:pPr>
    </w:p>
    <w:p>
      <w:pPr>
        <w:ind w:left="660" w:right="2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all Shares for the time being unissued shall be under the control of the Directors who may, in their absolute discretion and without the approval of the Members, cause the Company to:</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allot, and dispose of Shares (including, without limitation, preferred shares) (whether in certificated form or non-certificated form) to such Persons, in such manner, on such terms and having such rights and being subject to such restrictions as they may from time to time determine;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left="1300" w:hanging="644"/>
        <w:spacing w:after="0" w:line="258"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rights over Shares or other securities to be issued in one or more classes or series as they deem necessary or appropriate and determine the designations, powers, preferences, privileges, and other rights attaching to such Shares or securities, including dividend rights, voting rights, conversion rights, terms of redemption, and liquidation preferences, any or all of which may be greater than the powers, preferences, privileges and rights associated with the then issued and outstanding Shares, at such times and on such other terms as they think proper; and</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options with respect to Shares and issue warrants or similar instruments with respect thereto.</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Articles and compliance with the Listing Rules and the Takeover Code, and on the conditions that (a) no new Class of Shares with voting rights superior to those of Class A Ordinary Shares will be created; and (b) any variations in the relative rights as between the different Classes will not result in the creation of new Class of Shares with voting rights superior to those of Class A Ordinary Shares, the Directors may issue from time to time, out of the authorised share capital of the Company (other than the authorised but unissued Ordinary Shares), series of preferred shares in their absolute discretion and without approval of the Members; provided, however, before any preferred shares of any such series are issued, the Directors shall by resolution of Directors determine, with respect to any series of preferred shares, the terms and rights of that series, including:</w:t>
      </w:r>
    </w:p>
    <w:p>
      <w:pPr>
        <w:spacing w:after="0" w:line="188"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such series, the number of preferred shares to constitute such series, and the subscription price thereof if different from the par value thereof;</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have voting rights, in addition to any voting rights provided by law, and, if so, the terms of such voting rights, which may be general or limited, and such voting rights will, in appropriate circumstances, be secured to the holders of the preferred shares;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dividends, if any, payable on such series, whether any such dividends shall be cumulative, and, if so, from what dates, the conditions and dates upon which such dividends shall be payable, and the preference or relation which such dividends shall bear to the dividends payable on any shares of any other class or any other series of shares;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be subject to redemption by the Company, and, if so, the times, prices and other conditions of such redemption;</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have any rights to receive any part of the assets available for distribution amongst the Members upon the liquidation of the Company, and, if so, the terms of such liquidation preference, and the relation which such liquidation preference shall bear to the entitlements of the holders of shares of any other class or any other series of shares;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be subject to the operation of a retirement or sinking fund and, if so, the extent to and manner in which any such retirement or sinking fund shall be applied to the purchase or redemption of the preferred shares of such series for retirement or other corporate purposes and the terms and provisions relative to the operation thereof;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left="1300" w:hanging="644"/>
        <w:spacing w:after="0" w:line="266"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be convertible into, or exchangeable for, shares of any other class or any other series of preferred shares or any other securities and, if so, the price or prices or the rate or rates of conversion or exchange and the method, if any, of adjusting the same, and any other terms and conditions of conversion or exchange;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and restrictions, if any, to be effective while any preferred shares of such series are outstanding upon the payment of dividends or the making of other distributions on, and upon the purchase, redemption or other acquisition by the Company of, the existing shares or shares of any other class of shares or any other series of preferred shares;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or restrictions, if any, upon the creation of indebtedness of the Company or upon the issue of any additional shares, including additional shares of such series or of any other class of shares or any other series of preferred shares;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powers, preferences, and relative, participating, optional, and other special rights, and any qualifications, limitations, and restrictions thereof;</w:t>
      </w:r>
    </w:p>
    <w:p>
      <w:pPr>
        <w:spacing w:after="0" w:line="162" w:lineRule="exact"/>
        <w:rPr>
          <w:sz w:val="20"/>
          <w:szCs w:val="20"/>
          <w:color w:val="auto"/>
        </w:rPr>
      </w:pPr>
    </w:p>
    <w:p>
      <w:pPr>
        <w:ind w:left="660" w:right="440"/>
        <w:spacing w:after="0" w:line="282" w:lineRule="auto"/>
        <w:rPr>
          <w:sz w:val="20"/>
          <w:szCs w:val="20"/>
          <w:color w:val="auto"/>
        </w:rPr>
      </w:pPr>
      <w:r>
        <w:rPr>
          <w:rFonts w:ascii="Times New Roman" w:cs="Times New Roman" w:eastAsia="Times New Roman" w:hAnsi="Times New Roman"/>
          <w:sz w:val="18"/>
          <w:szCs w:val="18"/>
          <w:color w:val="auto"/>
        </w:rPr>
        <w:t>and, for such purposes, the Directors may reserve an appropriate number of Shares for the time being unissued. The Company shall not issue Shares to bearer.</w:t>
      </w:r>
    </w:p>
    <w:p>
      <w:pPr>
        <w:spacing w:after="0" w:line="162" w:lineRule="exact"/>
        <w:rPr>
          <w:sz w:val="20"/>
          <w:szCs w:val="20"/>
          <w:color w:val="auto"/>
        </w:rPr>
      </w:pPr>
    </w:p>
    <w:p>
      <w:pPr>
        <w:jc w:val="both"/>
        <w:ind w:left="660" w:hanging="652"/>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insofar as may be permitted by law, pay a commission to any Person in consideration of his subscribing or agreeing to subscribe whether absolutely or conditionally for any Shares. Such commissions may be satisfied by the payment of cash or the lodgment of fully or partly paid-up Shares or partly in one way and partly in the other. The Company may also pay such brokerage as may be lawful on any issue of Shares.</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refuse to accept any application for Shares, and may accept any application in whole or in part, for any reason or for no reason.</w:t>
      </w:r>
    </w:p>
    <w:p>
      <w:pPr>
        <w:spacing w:after="0" w:line="221" w:lineRule="exact"/>
        <w:rPr>
          <w:rFonts w:ascii="Times New Roman" w:cs="Times New Roman" w:eastAsia="Times New Roman" w:hAnsi="Times New Roman"/>
          <w:sz w:val="18"/>
          <w:szCs w:val="18"/>
          <w:color w:val="auto"/>
        </w:rPr>
      </w:pPr>
    </w:p>
    <w:p>
      <w:pPr>
        <w:ind w:left="2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CLASS A ORDINARY SHARES AND CLASS B ORDINARY SHARES</w:t>
      </w:r>
    </w:p>
    <w:p>
      <w:pPr>
        <w:spacing w:after="0" w:line="22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Class A Ordinary Shares and Class B Ordinary Shares shall at all times vote together as a single class on all resolutions submitted to a vote by the Members. Each Class A Ordinary Share shall entitle the holder thereof to one (1) vote on all matters subject to vote at general meetings of the Company, and each Class B Ordinary Share shall entitle the holder thereof to ten (10) votes on all matters subject to vote at general meetings of the Company.</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share capital of the Company includes Shares with different voting rights, the words “restricted voting” or “limited voting” shall appear in the designation of each class of Shares other than the class of Shares with the most favourable voting rights.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Class B Ordinary Share is convertible into one (1) Class A Ordinary Share at any time by the holder thereof. The right to convert shall be exercisable by the holder of the Class B Ordinary Share delivering a written notice to the Company that such holder elects to convert a specified number of Class B Ordinary Shares into Class A Ordinary Shares.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left="660" w:hanging="652"/>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shall only be held by the Founder or a Director Holding Vehicle. Subject to the Listing Rules or other applicable laws or regulations, each Class B Ordinary Share shall be automatically converted into one Class A Ordinary Share upon the occurrence of any of the following events: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death of the holder of such Class B Ordinary Share (or, where the holder is a Director Holding Vehicle, the death of the Founder);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such Class B Ordinary Share ceasing to be a Director or a Director Holding Vehicle for any reason;</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such Class B Ordinary Share (or, where the holder is a Director Holding Vehicle, the Founder) being deemed by The Stock Exchange of Hong Kong Limited to be incapacitated for the purpose of performing his duties as a Director;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such Class B Ordinary Share (or, where the holder is a Director Holding Vehicle, the Founder) being deemed by The Stock Exchange of Hong Kong Limited to no longer meet the requirements of a director set out in the Listing Rules; or</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sale, transfer, assignment, or disposition of the beneficial ownership of, or economic interest in, such Class B Ordinary Share or the control over the voting rights attached to such Class B Ordinary Share through voting proxy or otherwise to any person, including by reason that a Director Holding Vehicle no longer complies with Rule 8A.18(2) of the Listing Rules (in which case the Company and the Founder or the Director Holding Vehicle must notify The Stock Exchange of Hong Kong Limited as soon as practicable with details of the non-compliance), other than a transfer of the legal title to such Class B Ordinary Share by the Founder to a Director Holding Vehicle wholly-owned and wholly controlled by him, or by a Director Holding Vehicle to the Founder or another Director Holding Vehicle wholly-owned and wholly controlled by the Founder;</w:t>
      </w:r>
    </w:p>
    <w:p>
      <w:pPr>
        <w:spacing w:after="0" w:line="188" w:lineRule="exact"/>
        <w:rPr>
          <w:rFonts w:ascii="Times New Roman" w:cs="Times New Roman" w:eastAsia="Times New Roman" w:hAnsi="Times New Roman"/>
          <w:sz w:val="18"/>
          <w:szCs w:val="18"/>
          <w:color w:val="auto"/>
        </w:rPr>
      </w:pPr>
    </w:p>
    <w:p>
      <w:pPr>
        <w:jc w:val="both"/>
        <w:ind w:left="13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creation of any pledge, charge, encumbrance, or other third party right of whatever description on any of Class B Ordinary Shares to secure contractual or legal obligations shall not be deemed as a sale, transfer, assignment, or disposition under this Article 15 unless and until any such pledge, charge, encumbrance, or other third party right is enforced and results in a third party that is not the Founder or the Director Holding Vehicle wholly-owned and wholly controlled by the Founder holding directly or indirectly legal or beneficial ownership or voting power through voting proxy or otherwise to the related Class B Ordinary Shares, in which case all the related Class B Ordinary Shares shall be automatically converted into the same number of Class A Ordinary Shares.</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of Class B Ordinary Shares into Class A Ordinary Shares pursuant to these Articles shall be effected by means of the re-designation and re-classification of each relevant Class B Ordinary Share as a Class A Ordinary Share. Such conversion shall become effective forthwith upon entries being made in the Register to record the re-designation and re-classification of the relevant Class B Ordinary Shares as Class A Ordinary Shares.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left="660" w:hanging="652"/>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Class B Ordinary Shares in the authorised share capital shall be automatically re-designated into Class A Ordinary Shares in the event all of the Class B Ordinary Shares in issue are converted into Class A Ordinary Shares in accordance with Article 15 or Article 16, or that none of the holders of Class B Ordinary Shares at the time of the Company’s initial listing on The Stock Exchange of Hong Kong Limited hold any Class B Ordinary Shares, and no further Class B Ordinary Shares shall be issued by the Company.</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are not convertible into Class B Ordinary Shares under any circumstances.</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adoption of these Articles, the Company shall not issue any additional Class B Ordinary Shares, or any options, warrants or convertible securities of similar nature conferring the right upon the holders thereof to subscribe for, purchase or receive any Class B Ordinary Shares other than in accordance with Article 21.</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take any action (including the issue or repurchase of Shares of any class) that would result in (a) the aggregate number of votes entitled to be cast by all holders of Class A Ordinary Shares (for the avoidance of doubt, excluding those who are also holders of Class B Ordinary Shares) present at a general meeting to be less than 10% of the votes entitled to be cast by all members at a general meeting; or (b) an increase in the proportion of Class B Ordinary Shares to the total number of Shares in issue.</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further Class B Ordinary Shares shall be issued by the Company, except with the prior approval of The Stock Exchange of Hong Kong Limited and pursuant to (i) an offer to subscribe for Shares made to all the Shareholder pro rata (apart from fractional entitlements) to their existing holdings; (ii) a pro rata issue of Shares to all the Shareholder by way of scrip dividends; or (iii) a Share subdivision or other similar capital reorganisation; provided that, each Shareholder shall be entitled to subscribe for (in a pro rata offer) or be issued (in an issue of Shares by way of scrip dividends) Shares in the same class as the Shares then held by him, notwithstanding the provisions of Article 24; and further provided that the proposed allotment or issuance will not result in an increase in the proportion of Class B Ordinary Shares in issue, so that:</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under a pro rata offer, any holder of Class B Ordinary Shares does not take up any part of the Class B Ordinary Shares or the rights thereto offered to him, such untaken Shares (or rights) shall only be transferred to another person on the basis that such transferred rights will only entitle the transferee to an equivalent number of Class A Ordinary Shares; and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rights to Class A Ordinary Shares in a pro rata offer are not taken up in their entirety, the number of Class B Ordinary Shares that shall be allotted, issued or granted in such pro rata offer shall be reduced proportionately.</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 reduces the number of Class A Ordinary Shares in issue (e.g. through a purchase of its own shares), the holders of Class B Ordinary Shares shall reduce their voting rights in the Company proportionately, whether through a conversion of a portion of their Class B Ordinary Shares or otherwise, if the reduction in the number of Class A Ordinary Shares in issue would otherwise result in an increase in the proportion of Class B Ordinary Shares to the total number of shares in issue.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vary the rights of the Class B Ordinary Shares so as to increase the weighted voting rights attached to each Class B Ordinary Share.</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Save and except for voting rights and conversion rights as set out in Articles 12 to 23 (inclusive), the Class A Ordinary Shares and the Class B Ordinary Shares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one another and shall have the same rights, preferences, privileges and restrictions.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MODIFICATION OF RIGHTS</w:t>
      </w:r>
    </w:p>
    <w:p>
      <w:pPr>
        <w:spacing w:after="0" w:line="229" w:lineRule="exact"/>
        <w:rPr>
          <w:sz w:val="20"/>
          <w:szCs w:val="20"/>
          <w:color w:val="auto"/>
        </w:rPr>
      </w:pPr>
    </w:p>
    <w:p>
      <w:pPr>
        <w:jc w:val="both"/>
        <w:ind w:left="660" w:hanging="652"/>
        <w:spacing w:after="0" w:line="254"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capital of the Company is divided into different Classes the rights attached to any such Class may, subject to any rights or restrictions for the time being attached to any Class, only be materially adversely varied with the consent in writing of the holders of three-fourths of the voting rights of the issued Shares of that Class or with the sanction of a Special Resolution passed at a separate meeting of the holders of the Shares of that Class. To every such separate meeting all the provisions of these Articles relating to general meetings of the Company or to the proceedings thereat shall, mutatis mutandis, apply, except that the necessary quorum shall be one or more Persons holding or representing by proxy at least one-third (1/3) of the voting rights of the issued Shares of the relevant Class (but so that if at any adjourned meeting of such holders a quorum as above defined is not present, those Shareholders who are Present shall form a quorum) and that, subject to any rights or restrictions for the time being attached to the Shares of that Class, every Shareholder of the Class shall on a poll have one vote for each Share of the Class held by him.</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conferred upon the holders of the Shares of any Class issued with preferred or other rights shall not, subject to any rights or restrictions for the time being attached to the Shares of that Class, be deemed to be materially adversely varied by, inter alia, the creation, allotment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subsequent to them or the redemption or purchase of any Shares of any Class by the Company.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CERTIFICATES</w:t>
      </w:r>
    </w:p>
    <w:p>
      <w:pPr>
        <w:spacing w:after="0" w:line="229" w:lineRule="exact"/>
        <w:rPr>
          <w:sz w:val="20"/>
          <w:szCs w:val="20"/>
          <w:color w:val="auto"/>
        </w:rPr>
      </w:pPr>
    </w:p>
    <w:p>
      <w:pPr>
        <w:jc w:val="both"/>
        <w:ind w:left="660" w:hanging="652"/>
        <w:spacing w:after="0" w:line="25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Person whose name is entered as a Member in the Register may, without payment and upon its written request, request a certificate within two calendar months after allotment or lodgment of transfer (or within such other period as the conditions of issue shall provide) in the form determined by the Directors. All certificates shall specify the Share or Shares held by that Person, provided that in respect of a Share or Shares held jointly by several Persons the Company shall not be bound to issue more than one certificate, and delivery of a certificate for a Share to one of several joint holders shall be sufficient delivery to all. All certificates for Shares shall be delivered personally or sent through the post addressed to the Member entitled thereto at the Member’s registered address as appearing in the Register.</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share certificate of the Company shall bear legends required under the applicable laws, including the Securities Act. Every share certificate shall prominently include the words “A company controlled through weighted voting rights” or such language as may be specified by The Stock Exchange of Hong Kong Limited from time to time, and specify the number and class of shares in respect of which it is issued and the amount paid thereon or the fact that they are fully paid, as the case may be, and may otherwise be in such form as the Board may from time to time prescribe.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left="660" w:right="20" w:hanging="65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28A.</w:t>
      </w:r>
      <w:r>
        <w:rPr>
          <w:sz w:val="20"/>
          <w:szCs w:val="20"/>
          <w:color w:val="auto"/>
        </w:rPr>
        <w:tab/>
      </w:r>
      <w:r>
        <w:rPr>
          <w:rFonts w:ascii="Times New Roman" w:cs="Times New Roman" w:eastAsia="Times New Roman" w:hAnsi="Times New Roman"/>
          <w:sz w:val="18"/>
          <w:szCs w:val="18"/>
          <w:color w:val="auto"/>
        </w:rPr>
        <w:t>Every certificate for shares or debentures or representing any other form of security of the Company shall be issued under the seal of the Company, which shall only be affixed with the authority of the Board.</w:t>
      </w:r>
    </w:p>
    <w:p>
      <w:pPr>
        <w:spacing w:after="0" w:line="162" w:lineRule="exact"/>
        <w:rPr>
          <w:sz w:val="20"/>
          <w:szCs w:val="20"/>
          <w:color w:val="auto"/>
        </w:rPr>
      </w:pPr>
    </w:p>
    <w:p>
      <w:pPr>
        <w:jc w:val="both"/>
        <w:ind w:left="660" w:hanging="652"/>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two or more certificates representing Shares of any one Class held by any Member may at the Member’s request be cancelled and a single new certificate for such Shares issued in lieu on payment (if the Directors shall so require) of one dollar (US$1.00) or such smaller sum as the Directors shall determine.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 certificate shall be damaged or defaced or alleged to have been lost, stolen or destroyed, a new certificate representing the same Shares may be issued to the relevant Member upon request, subject to delivery up of the old certificate or (if alleged to have been lost, stolen or destroyed) compliance with such conditions as to evidence and indemnity and the payment of out-of-pocket expenses of the Company in connection with the request as the Directors may think fit.</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Shares are held jointly by several Persons, any request may be made by any one of the joint holders and if so made shall be binding on all of the joint holders.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FRACTIONAL SHARES</w:t>
      </w:r>
    </w:p>
    <w:p>
      <w:pPr>
        <w:spacing w:after="0" w:line="229" w:lineRule="exact"/>
        <w:rPr>
          <w:sz w:val="20"/>
          <w:szCs w:val="20"/>
          <w:color w:val="auto"/>
        </w:rPr>
      </w:pPr>
    </w:p>
    <w:p>
      <w:pPr>
        <w:jc w:val="both"/>
        <w:ind w:left="660" w:hanging="652"/>
        <w:spacing w:after="0" w:line="258"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issue fractions of a Share and, if so issued, a fraction of a Share shall be subject to and carry the corresponding fraction of liabilities (whether with respect to nominal or par value, premium, contributions, calls or otherwise), limitations, preferences, privileges, qualifications, restrictions, rights (including, without prejudice to the generality of the foregoing, voting and participation rights) and other attributes of a whole Share. If more than one fraction of a Share of the same Class is issued to or acquired by the same Shareholder such fractions shall be accumulated.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LIEN</w:t>
      </w:r>
    </w:p>
    <w:p>
      <w:pPr>
        <w:spacing w:after="0" w:line="229" w:lineRule="exact"/>
        <w:rPr>
          <w:sz w:val="20"/>
          <w:szCs w:val="20"/>
          <w:color w:val="auto"/>
        </w:rPr>
      </w:pPr>
    </w:p>
    <w:p>
      <w:pPr>
        <w:jc w:val="both"/>
        <w:ind w:left="660" w:hanging="652"/>
        <w:spacing w:after="0" w:line="25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first and paramount lien on every Share (whether or not fully paid) for all amounts (whether presently payable or not) payable at a fixed time or called in respect of that Share. The Company also has a first and paramount lien on every Share registered in the name of a Person indebted or under liability to the Company (whether he is the sole registered holder of a Share or one of two or more joint holders) for all amounts owing by him or his estate to the Company (whether or not presently payable). The Directors may at any time declare a Share to be wholly or in part exempt from the provisions of this Article. The Company’s lien on a Share extends to any amount payable in respect of it, including but not limited to dividends.</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sell, in such manner as the Directors in their absolute discretion think fit, any Share on which the Company has a lien, but no sale shall be made unless an amount in respect of which the lien exists is presently payable nor until the expiration of fourteen calendar days after a notice in writing, demanding payment of such part of the amount in respect of which the lien exists as is presently payable, has been given to the registered holder for the time being of the Share, or the Persons entitled thereto by reason of his death or bankruptcy.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left="66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giving effect to any such sale the Directors may authorize a Person to transfer the Shares sold to the purchaser thereof. The purchaser shall be registered as the holder of the Shares comprised in any such transfer and he shall not be bound to see to the application of the purchase money, nor shall his title to the Shares be affected by any irregularity or invalidity in the proceedings in reference to the sale.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sale after deduction of expenses, fees and commission incurred by the Company shall be received by the Company and applied in payment of such part of the amount in respect of which the lien exists as is presently payable, and the residue shall (subject to a like lien for sums not presently payable as existed upon the Shares prior to the sale) be paid to the Person entitled to the Shares immediately prior to the sale.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CALLS ON SHARES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allotment, the Directors may from time to time make calls upon the Shareholders in respect of any moneys unpaid on their Shares, and each Shareholder shall (subject to receiving at least fourteen calendar days’ notice specifying the time or times of payment) pay to the Company at the time or times so specified the amount called on such Shares. A call shall be deemed to have been made at the time when the resolution of the Directors authorizing such call was passed.</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holders of a Share shall be jointly and severally liable to pay calls in respect thereof.</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sum called in respect of a Share is not paid before or on the day appointed for payment thereof, the Person from whom the sum is due shall pay interest upon the sum at the rate of eight percent per annum from the day appointed for the payment thereof to the time of the actual payment, but the Directors shall be at liberty to waive payment of that interest wholly or in part.</w:t>
      </w:r>
    </w:p>
    <w:p>
      <w:pPr>
        <w:spacing w:after="0" w:line="175" w:lineRule="exact"/>
        <w:rPr>
          <w:rFonts w:ascii="Times New Roman" w:cs="Times New Roman" w:eastAsia="Times New Roman" w:hAnsi="Times New Roman"/>
          <w:sz w:val="18"/>
          <w:szCs w:val="18"/>
          <w:color w:val="auto"/>
        </w:rPr>
      </w:pPr>
    </w:p>
    <w:p>
      <w:pPr>
        <w:jc w:val="both"/>
        <w:ind w:left="660" w:right="2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these Articles as to the liability of joint holders and as to payment of interest shall apply in the case of non-payment of any sum which, by the terms of issue of a Share, becomes payable at a fixed time, whether on account of the amount of the Share, or by way of premium, as if the same had become payable by virtue of a call duly made and notified.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make arrangements with respect to the issue of partly paid Shares for a difference between the Shareholders, or the particular Shares, in the amount of calls to be paid and in the times of payment.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if they think fit, receive from any Shareholder willing to advance the same all or any part of the moneys uncalled and unpaid upon any partly paid Shares held by him, and upon all or any of the moneys so advanced may (until the same would, but for such advance, become presently payable) pay interest at such rate (not exceeding without the sanction of an Ordinary Resolution, eight percent per annum) as may be agreed upon between the Shareholder paying the sum in advance and the Directors. No such sum paid in advance of calls shall entitle the Member paying such sum to any portion of a dividend declared in respect of any period prior to the date upon which such sum would, but for such payment, become presently payable.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FORFEITURE OF SHARES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Shareholder fails to pay any call or instalment of a call in respect of partly paid Shares on the day appointed for payment, the Directors may, at any time thereafter during such time as any part of such call or instalment remains unpaid, serve a notice on him requiring payment of so much of the call or instalment as is unpaid, together with any interest which may have accrued.</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shall name a further day (not earlier than the expiration of fourteen calendar days from the date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requirements of any such notice as aforesaid are not complied with, any Share in respect of which the notice has been given may at any time thereafter, before the payment required by notice has been made, be forfeited by a resolution of the Directors to that effect.</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forfeited Share may be sold or otherwise disposed of on such terms and in such manner as the Directors think fit, and at any time before a sale or disposition the forfeiture may be cancelled on such terms as the Directors think fit.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Shares have been forfeited shall cease to be a Shareholder in respect of the forfeited Shares, but shall, notwithstanding, remain liable to pay to the Company all moneys which at the date of forfeiture were payable by him to the Company in respect of the Shares forfeited, but his liability shall cease if and when the Company receives payment in full of the amount unpaid on the Shares forfeited.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in writing under the hand of a Director that a Share has been duly forfeited on a date stated in the certificate shall be conclusive evidence of the facts in the declaration as against all Persons claiming to be entitled to the Share.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receive the consideration, if any, given for a Share on any sale or disposition thereof pursuant to the provisions of these Articles as to forfeiture and may execute a transfer of the Share in favor of the Person to whom the Share is sold or disposed of and that Person shall be registered as the holder of the Share and shall not be bound to see to the application of the purchase money, if any, nor shall his title to the Shares be affected by any irregularity or invalidity in the proceedings in reference to the disposition or sale.</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these Articles as to forfeiture shall apply in the case of non-payment of any sum which by the terms of issue of a Share becomes due and payable, whether on account of the amount of the Share, or by way of premium, as if the same had been payable by virtue of a call duly made and notified.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TRANSFER OF SHARES</w:t>
      </w:r>
    </w:p>
    <w:p>
      <w:pPr>
        <w:spacing w:after="0" w:line="229" w:lineRule="exact"/>
        <w:rPr>
          <w:sz w:val="20"/>
          <w:szCs w:val="20"/>
          <w:color w:val="auto"/>
        </w:rPr>
      </w:pPr>
    </w:p>
    <w:p>
      <w:pPr>
        <w:jc w:val="both"/>
        <w:ind w:left="660" w:hanging="652"/>
        <w:spacing w:after="0" w:line="254"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of any Share shall be in writing and in any usual or common form or such other form as the Directors may, in their absolute discretion, approve and be executed by or on behalf of the transferor and if in respect of a nil or partly paid up Share, or if so required by the Directors, shall also be executed on behalf of the transferee and shall be accompanied by the certificate (if any) of the Shares to which it relates and such other evidence as the Directors may reasonably require to show the right of the transferor to make the transfer. The instrument of transfer of any Share shall be in writing and shall be executed with a manual signature or facsimile signature (which may be machine imprinted or otherwise) by or on behalf of the transferor and transferee PROVIDED that in the case of execution by facsimile signature by or on behalf of a transferor or transferee, the Board shall have previously been provided with a list of specimen signatures of the authorised signatories of such transferor or transferee and the Board shall be reasonably satisfied that such facsimile signature corresponds to one of those specimen signatures. The transferor shall be deemed to remain a Shareholder until the name of the transferee is entered in the Register in respect of the relevant Shares.</w:t>
      </w:r>
    </w:p>
    <w:p>
      <w:pPr>
        <w:spacing w:after="0" w:line="188" w:lineRule="exact"/>
        <w:rPr>
          <w:rFonts w:ascii="Times New Roman" w:cs="Times New Roman" w:eastAsia="Times New Roman" w:hAnsi="Times New Roman"/>
          <w:sz w:val="18"/>
          <w:szCs w:val="18"/>
          <w:color w:val="auto"/>
        </w:rPr>
      </w:pPr>
    </w:p>
    <w:p>
      <w:pPr>
        <w:ind w:left="980" w:hanging="972"/>
        <w:spacing w:after="0" w:line="266" w:lineRule="auto"/>
        <w:tabs>
          <w:tab w:leader="none" w:pos="65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Directors may in their absolute discretion decline to register any transfer of Shares which is not fully paid up or on which the Company has a lien. Fully paid shares shall be free from any restriction on the right of transfer (except when permitted by The Stock Exchange of Hong Kong Limited) and shall also be free from all lien.</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also decline to register any transfer of any Share unless:</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the Company, accompanied by the certificate for the Shares to which it relates and such other evidence as the Board may reasonably require to show the right of the transferor to make the transfer;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Share is to be transferred does not exceed four; and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Designated Stock Exchange may determine to be payable, and for so long as the Shares are listed on The Stock Exchange of Hong Kong Limited, that transfers and other documents relating to or affecting the title to any registered securities shall be registered and where any fee or fees is/are charged, such fee or fees shall not exceed the maximum fees prescribed by The Stock Exchange of Hong Kong Limited from time to time in the Listing Rules, is paid to the Company in respect thereof.</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of transfers may, on ten calendar days’ notice being given by advertisement in such one or more newspapers, by electronic means or by any other means in accordance with the Designated Stock Exchange Rules, be suspended and the Register closed at such times and for such periods as the Directors may, in their absolute discretion, from time to time determine, provided always that such registration of transfer shall not be suspended nor the Register closed for more than thirty calendar days in any calendar year.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both"/>
        <w:ind w:left="660" w:hanging="652"/>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instruments of transfer that are registered shall be retained by the Company. If the Directors refuse to register a transfer of any Shares, they shall within three calendar months after the date on which the transfer was lodged with the Company send notice of the refusal to each of the transferor and the transferee.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TRANSMISSION OF SHARES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personal representative of a deceased sole holder of a Share shall be the only Person recognized by the Company as having any title to the Share. In the case of a Share registered in the name of two or more holders, the survivors or survivor, or the legal personal representatives of the deceased survivor, shall be the only Person recognized by the Company as having any title to the Share.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becoming entitled to a Share in consequence of the death or bankruptcy of a Shareholder shall, upon such evidence being produced as may from time to time be required by the Directors, have the right either to be registered as a Shareholder in respect of the Share or, instead of being registered himself, to make such transfer of the Share as the deceased or bankrupt Person could have made; but the Directors shall, in either case, have the same right to decline or suspend registration as they would have had in the case of a transfer of the Share by the deceased or bankrupt Person before the death or bankruptcy.</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becoming entitled to a Share by reason of the death or bankruptcy of a Shareholder shall be entitled to the same dividends and other advantages to which he would be entitled if he were the registered Shareholder, except that he shall not, before being registered as a Shareholder in respect of the Share, be entitled in respect of it to exercise any right conferred by membership in relation to meetings of the Company, provided however, that the Directors may at any time give notice requiring any such Person to elect either to be registered himself or to transfer the Share, and if the notice is not complied with within ninety calendar days, the Directors may thereafter withhold payment of all dividends, bonuses or other monies payable in respect of the Share until the requirements of the notice have been complied with.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OF EMPOWERING INSTRUMENTS</w:t>
      </w:r>
    </w:p>
    <w:p>
      <w:pPr>
        <w:spacing w:after="0" w:line="229" w:lineRule="exact"/>
        <w:rPr>
          <w:sz w:val="20"/>
          <w:szCs w:val="20"/>
          <w:color w:val="auto"/>
        </w:rPr>
      </w:pPr>
    </w:p>
    <w:p>
      <w:pPr>
        <w:ind w:left="660" w:hanging="652"/>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entitled to charge a fee not exceeding one dollar (US$1.00) on the registration of every probate, letters of administration, certificate of death or marriage, power of attorney, notice in lieu of distringas, or other instrument.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ALTERATION OF SHARE CAPITAL</w:t>
      </w:r>
    </w:p>
    <w:p>
      <w:pPr>
        <w:spacing w:after="0" w:line="229" w:lineRule="exact"/>
        <w:rPr>
          <w:sz w:val="20"/>
          <w:szCs w:val="20"/>
          <w:color w:val="auto"/>
        </w:rPr>
      </w:pPr>
    </w:p>
    <w:p>
      <w:pPr>
        <w:ind w:left="660" w:hanging="652"/>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from time to time by Ordinary Resolution increase the share capital by such sum, to be divided into Shares of such Classes and amount, as the resolution shall prescribe.</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Ordinary Resolution: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its share capital by new Shares of such amount as it thinks expedient;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its share capital into Shares of a larger amount than its existing Shares;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left="1300" w:hanging="644"/>
        <w:spacing w:after="0" w:line="266"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its Shares, or any of them, into Shares of an amount smaller than that fixed by the Memorandum, provided that in the subdivision the proportion between the amount paid and the amount, if any, unpaid on each reduced Share shall be the same as it was in case of the Share from which the reduced Share is derived; and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that, at the date of the passing of the resolution, have not been taken or agreed to be taken by any Person and diminish the amount of its share capital by the amount of the Shares so cancelled.</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Special Resolution reduce its share capital and any capital redemption reserve in any manner authorized by the Companies Act.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REDEMPTION, PURCHASE AND SURRENDER OF SHARES</w:t>
      </w:r>
    </w:p>
    <w:p>
      <w:pPr>
        <w:spacing w:after="0" w:line="229"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Companies Act and these Articles, the Company may:</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Shares that are to be redeemed or are liable to be redeemed at the option of the Shareholder or the Company. The redemption of Shares shall be effected in such manner and upon such terms as may be determined, before the issue of such Shares, by either the Board or by the Shareholders by Special Resolution;</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its own Shares (including any redeemable Shares) on such terms and in such manner and terms as have been approved by the Board or by the Members by Ordinary Resolution, or are otherwise authorized by these Articles, provided always that any such purchase shall only be made in accordance with any relevant code, rules or regulations issued by The Stock Exchange of Hong Kong Limited or the Securities and Futures Commission of Hong Kong from time to time in force; and</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payment in respect of the redemption or purchase of its own Shares in any manner permitted by the Companies Act, including out of capital.</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any Share shall not oblige the Company to purchase any other Share other than as may be required pursuant to applicable law and any other contractual obligations of the Company.</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Shares being purchased shall be bound to deliver up to the Company the certificate(s) (if any) thereof for cancellation and thereupon the Company shall pay to him the purchase or redemption monies or consideration in respect thereof.</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accept the surrender for no consideration of any fully paid Share.</w:t>
      </w:r>
    </w:p>
    <w:p>
      <w:pPr>
        <w:spacing w:after="0" w:line="225" w:lineRule="exact"/>
        <w:rPr>
          <w:sz w:val="20"/>
          <w:szCs w:val="20"/>
          <w:color w:val="auto"/>
        </w:rPr>
      </w:pPr>
    </w:p>
    <w:p>
      <w:pPr>
        <w:ind w:left="660" w:right="20" w:hanging="65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65A.</w:t>
      </w:r>
      <w:r>
        <w:rPr>
          <w:sz w:val="20"/>
          <w:szCs w:val="20"/>
          <w:color w:val="auto"/>
        </w:rPr>
        <w:tab/>
      </w:r>
      <w:r>
        <w:rPr>
          <w:rFonts w:ascii="Times New Roman" w:cs="Times New Roman" w:eastAsia="Times New Roman" w:hAnsi="Times New Roman"/>
          <w:sz w:val="18"/>
          <w:szCs w:val="18"/>
          <w:color w:val="auto"/>
        </w:rPr>
        <w:t>Where the Company purchases or redeems any of its Shares, purchases or redemption not made through the market or by tender shall be limited to a maximum price, and if purchases are by tender, tenders shall be available to all Shareholders alike.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MEETINGS</w:t>
      </w:r>
    </w:p>
    <w:p>
      <w:pPr>
        <w:spacing w:after="0" w:line="229" w:lineRule="exact"/>
        <w:rPr>
          <w:sz w:val="20"/>
          <w:szCs w:val="20"/>
          <w:color w:val="auto"/>
        </w:rPr>
      </w:pPr>
    </w:p>
    <w:p>
      <w:pPr>
        <w:ind w:left="5540" w:right="3120" w:hanging="5532"/>
        <w:spacing w:after="0" w:line="783" w:lineRule="auto"/>
        <w:tabs>
          <w:tab w:leader="none" w:pos="66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general meetings other than annual general meetings shall be called extraordinary general meetings.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left="1300" w:hanging="1292"/>
        <w:spacing w:after="0" w:line="261" w:lineRule="auto"/>
        <w:tabs>
          <w:tab w:leader="none" w:pos="65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(a)The Company shall hold a general meeting as its annual general meeting for each financial year, to be held within six months (or such other period as may be permitted by the Listing Rules or The Stock Exchange of Hong Kong Limited) after the end of such financial year. The annual general meeting shall be held at such time and place (or held as a Virtual Meeting) as may be determined by the Directors.</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these meetings the report of the Directors (if any) shall be presented.</w:t>
      </w:r>
    </w:p>
    <w:p>
      <w:pPr>
        <w:spacing w:after="0" w:line="225" w:lineRule="exact"/>
        <w:rPr>
          <w:rFonts w:ascii="Times New Roman" w:cs="Times New Roman" w:eastAsia="Times New Roman" w:hAnsi="Times New Roman"/>
          <w:sz w:val="18"/>
          <w:szCs w:val="18"/>
          <w:color w:val="auto"/>
        </w:rPr>
      </w:pPr>
    </w:p>
    <w:p>
      <w:pPr>
        <w:ind w:left="1300" w:hanging="1292"/>
        <w:spacing w:after="0" w:line="282" w:lineRule="auto"/>
        <w:tabs>
          <w:tab w:leader="none" w:pos="65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(a)The Chairman or the Directors (acting by a resolution of the Board) may call general meetings, and they shall on a Shareholders’ requisition forthwith proceed to convene an extraordinary general meeting of the Company.</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Shareholders’ requisition is a requisition of Members holding at the date of deposit of the requisition Shares which carry in aggregate not less than one-tenth of the voting rights of the Company, on a one vote per share basis, that as at the date of the deposit carry the right to vote at general meetings of the Company.</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requisition must state the objects of the meeting and the resolutions to be added to the meeting agenda, and must be signed by the requisitionists and deposited at the Registered Office, and may consist of several documents in like form each signed by one or more requisitionists.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no Directors as at the date of the deposit of the Shareholders’ requisition, or if the Directors do not within twenty-one (21) calendar days from the date of the deposit of the requisition duly proceed to convene a general meeting to be held within a further twenty-one (21) calendar days, the requisitionists, or any of them representing not less than one-tenth of the voting rights of the Company, on a one vote per share basis, which carry the right to vote at general meetings, may themselves convene a general meeting, but any meeting so convened shall not be held after the expiration of three calendar months after the expiration of the said twenty-one (21) calendar days.</w:t>
      </w:r>
    </w:p>
    <w:p>
      <w:pPr>
        <w:spacing w:after="0" w:line="183"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meeting convened as aforesaid by requisitionists shall be convened in the same manner as nearly as possible as that in which general meetings are to be convened by Directors.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make Communication Facilities available for a specific general meeting or all general meetings of the Company so that Members and other participants may attend and participate at such general meetings by means of such Communication Facilities. Without limiting the generality of the foregoing, the Directors may determine that any general meeting may be held as a Virtual Meeting.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NOTICE OF GENERAL MEETINGS</w:t>
      </w:r>
    </w:p>
    <w:p>
      <w:pPr>
        <w:spacing w:after="0" w:line="229" w:lineRule="exact"/>
        <w:rPr>
          <w:sz w:val="20"/>
          <w:szCs w:val="20"/>
          <w:color w:val="auto"/>
        </w:rPr>
      </w:pPr>
    </w:p>
    <w:p>
      <w:pPr>
        <w:jc w:val="both"/>
        <w:ind w:left="660" w:hanging="652"/>
        <w:spacing w:after="0" w:line="254"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general meeting shall be called by not less than 21 days’ notice in writing and any other general meeting (including an extraordinary general meeting) shall be called by not less than 14 days’ notice in writing. Every notice shall be exclusive of the day on which it is given or deemed to be given and of the day for which it is held and shall specify the place (or, where such meeting shall be held as a Virtual Meeting, details of the Communication Facilities that will be used in accordance with Article 73), the day and the hour of the meeting and the particulars of the resolutions to be considered at the meeting and shall be given in the manner hereinafter mentioned or in such other manner if any as may be prescribed by the Company, provided that the Company may convene a general meeting on shorter notice than required under the Articles of Association, and a general meeting of the Company shall, whether or not the notice specified in this Article has been given and whether or not the provisions of these Articles regarding general meetings have been complied with, be deemed to have been duly convened, if it is agreed:</w:t>
      </w:r>
    </w:p>
    <w:p>
      <w:pPr>
        <w:spacing w:after="0" w:line="19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annual general meeting, by all the Shareholders (or their proxies) entitled to attend and vote thereat;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other meeting, by a majority in number of the Shareholders having a right to attend and vote at the meeting, being a majority together holding not less than 95% of all votes attaching to the Shares in issue and entitled to vote at such meeting.</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accidental omission to give notice of a meeting to or the non-receipt of a notice of a meeting by any Shareholder shall not invalidate the proceedings at any meeting.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PROCEEDINGS AT GENERAL MEETINGS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business except for the appointment of a chairman for the meeting shall be transacted at any general meeting unless a quorum of Shareholders is Present at the time when the meeting proceeds to business. One or more Shareholders holding Shares which carry in aggregate (or representing by proxy) not less than 10% of all votes attaching to all Shares in issue and entitled to vote at such general meeting (on a one vote per Share basis), Present at the meeting, shall be a quorum for all purposes.</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half an hour from the time appointed for the meeting a quorum is not Present, the meeting shall be dissolved.</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Directors wish to make this facility available for a specific general meeting or all general meetings of the Company, attendance and participation in any general meeting of the Company may be by means of Communication Facilities. Without limiting the generality of the foregoing, the Directors may determine that any general meeting may be held as a Virtual Meeting. The notice of any general meeting at which Communication Facilities may be utilized (including any Virtual Meeting) must disclose the Communication Facilities that will be used, including the procedures to be followed by any Shareholder or other participant of the meeting who wishes to utilize such Communication Facilities for the purposes of attending and participating in such meeting, including attending and casting any vote thereat.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if any, shall preside as chairman at every general meeting of the Company.</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such Chairman, or if at any general meeting he is not Present within fifteen minutes after the time appointed for holding the meeting or is unwilling to act as chairman of the meeting, the Directors Present at the meeting shall choose one Director or any other Person Present at the meeting to preside as chairman of that meeting, failing which the Shareholders Present shall choose any Person Present to be chairman of that meeting.</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any general meeting (including any Virtual Meeting) shall be entitled to attend and participate at any such general meeting by means of Communication Facilities, and to act as the chairman of such general meeting, in which event the following provisions shall apply: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meeting shall be deemed to be Present at the meeting; and</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Communication Facilities are interrupted or fail for any reason to enable the chairman of the meeting to hear and be heard by all other Persons participating in the meeting, then the other Directors Present at the meeting shall choose another Director Present to act as chairman of the meeting for the remainder of the meeting; provided that (i) if no other Director is Present at the meeting, or (ii) if all the Directors Present decline to take the chair, then the meeting shall be automatically adjourned to the same day in the next week and at such time and place (whether physical or virtual) as shall be decided by the board of Directors.</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may with the consent of any general meeting at which a quorum is Present (and shall if so directed by the meeting) adjourn a meeting from time to time and from place to place (whether physical or virtual), but no business shall be transacted at any adjourned meeting other than the business left unfinished at the meeting from which the adjournment took place. When a meeting, or adjourned meeting, is adjourned for fourteen calendar days or more, notice of the adjourned meeting shall be given as in the case of an original meeting. Save as aforesaid it shall not be necessary to give any notice of an adjournment or of the business to be transacted at an adjourned meeting.</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cancel or postpone any duly convened general meeting at any time prior to such meeting, except for general meetings requisitioned by the Shareholders in accordance with these Articles, for any reason or for no reason. Where a general meeting is postponed by the Directors, the Directors shall fix the date, time and place (or, where such meeting shall be held as a Virtual Meeting, details of the Communication Facilities that will be used in accordance with Article 73) for the reconvened meeting and at least seven clear days’ notice in writing shall be given to the Shareholders for the reconvened meeting; and such notice shall specify the date, time and place (or, where such meeting shall be held as a Virtual Meeting, details of the Communication Facilities that will be used in accordance with Article 73) at which the postponed meeting will be reconvened.</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general meeting a resolution put to the vote of the meeting shall be decided on a poll.</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poll is duly demanded it shall be taken in such manner (including the use of ballot or voting papers or tickets or electronic means) as the chairman of the meeting directs, and the result of the poll shall be deemed to be the resolution of the meeting at which the poll was demanded.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ind w:left="660" w:hanging="652"/>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questions submitted to a meeting shall be decided by an Ordinary Resolution except where a greater majority is required by these Articles or by the Companies Act. In the case of an equality of votes, the chairman of the meeting, shall be entitled to a second or casting vote.</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poll demanded on the election of a chairman of the meeting or on a question of adjournment shall be taken forthwith. A poll demanded on any other question shall be taken at such time as the chairman of the meeting directs.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VOTES OF SHAREHOLDERS</w:t>
      </w:r>
    </w:p>
    <w:p>
      <w:pPr>
        <w:spacing w:after="0" w:line="229"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Share on a poll every Shareholder Present at the meeting shall have (a) one</w:t>
      </w:r>
    </w:p>
    <w:p>
      <w:pPr>
        <w:spacing w:after="0" w:line="27" w:lineRule="exact"/>
        <w:rPr>
          <w:rFonts w:ascii="Times New Roman" w:cs="Times New Roman" w:eastAsia="Times New Roman" w:hAnsi="Times New Roman"/>
          <w:sz w:val="18"/>
          <w:szCs w:val="18"/>
          <w:color w:val="auto"/>
        </w:rPr>
      </w:pPr>
    </w:p>
    <w:p>
      <w:pPr>
        <w:jc w:val="both"/>
        <w:ind w:left="6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vote for each Class A Ordinary Share and ten (10) votes for each Class B Ordinary Share of which he is the holder and (b) the right to speak. On a poll a Shareholder entitled to more than one vote is under no obligation to cast all his votes in the same way. For the avoidance of doubt, where more than one proxy is appointed by a recognized clearing house (or its nominee(s)), each such proxy is under no obligation to cast all his votes in the same way on a poll.</w:t>
      </w:r>
    </w:p>
    <w:p>
      <w:pPr>
        <w:spacing w:after="0" w:line="188"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provisions in these Articles to the contrary, each Class A Ordinary Share and each Class B Ordinary Share shall entitle its holder to one vote on a poll at a general meeting in respect of a resolution on any of the following matters:</w:t>
      </w:r>
    </w:p>
    <w:p>
      <w:pPr>
        <w:spacing w:after="0" w:line="162"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the Memorandum or these Articles, including the variation of the rights attached to any class of shares;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election or removal of any Independent Non-executive Director;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or removal of the Auditors;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voluntary liquidation or winding-up of the Company.</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Notwithstanding the foregoing, where a holder of Class B Ordinary Shares is permitted by The Stock Exchange of Hong Kong Limited from time to time to exercise more than one vote per Share when voting on a resolution to amend the Memorandum or these Articles, any holder of Class B Ordinary Share may elect to exercise such number of votes per Share as is permitted by The Stock Exchange of Hong Kong Limited, up to the maximum number of votes attached to each Class B Ordinary Share as set out in Article 83.</w:t>
      </w:r>
    </w:p>
    <w:p>
      <w:pPr>
        <w:spacing w:after="0" w:line="180" w:lineRule="exact"/>
        <w:rPr>
          <w:sz w:val="20"/>
          <w:szCs w:val="20"/>
          <w:color w:val="auto"/>
        </w:rPr>
      </w:pPr>
    </w:p>
    <w:p>
      <w:pPr>
        <w:jc w:val="both"/>
        <w:ind w:left="660" w:hanging="652"/>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joint holders the vote of the senior who tenders a vote whether in person or by proxy (or, if a corporation or other non-natural person, by its duly authorized representative or proxy) shall be accepted to the exclusion of the votes of the other joint holders and for this purpose seniority shall be determined by the order in which the names stand in the Register.</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carrying the right to vote that are held by a Shareholder of unsound mind, or in respect of whom an order has been made by any court having jurisdiction in lunacy, may be voted, by his committee, or other Person in the nature of a committee appointed by that court, and any such committee or other Person may vote in respect of such Shares by proxy.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left="652" w:hanging="652"/>
        <w:spacing w:after="0" w:line="261" w:lineRule="auto"/>
        <w:tabs>
          <w:tab w:leader="none" w:pos="65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Shareholder shall be entitled to vote at any general meeting of the Company unless all calls, if any, or other sums presently payable by him in respect of Shares carrying the right to vote held by him have been paid. Where any Shareholder is, under the Listing Rules, required to abstain from voting on any particular resolution or restricted to voting only for or only against any particular resolution, any votes cast by or on behalf of such Shareholder in contravention of such requirement or restriction shall not be counted.</w:t>
      </w:r>
    </w:p>
    <w:p>
      <w:pPr>
        <w:spacing w:after="0" w:line="179"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poll votes may be given either personally or by proxy.</w:t>
      </w:r>
    </w:p>
    <w:p>
      <w:pPr>
        <w:spacing w:after="0" w:line="225" w:lineRule="exact"/>
        <w:rPr>
          <w:rFonts w:ascii="Times New Roman" w:cs="Times New Roman" w:eastAsia="Times New Roman" w:hAnsi="Times New Roman"/>
          <w:sz w:val="18"/>
          <w:szCs w:val="18"/>
          <w:color w:val="auto"/>
        </w:rPr>
      </w:pPr>
    </w:p>
    <w:p>
      <w:pPr>
        <w:ind w:left="652" w:right="20" w:hanging="652"/>
        <w:spacing w:after="0" w:line="282" w:lineRule="auto"/>
        <w:tabs>
          <w:tab w:leader="none" w:pos="65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shall be in writing under the hand of the appointor or of his attorney duly authorized in writing or, if the appointor is a corporation, either under Seal or under the hand of an officer or attorney duly authorized. A proxy need not be a Shareholder.</w:t>
      </w:r>
    </w:p>
    <w:p>
      <w:pPr>
        <w:spacing w:after="0" w:line="161" w:lineRule="exact"/>
        <w:rPr>
          <w:rFonts w:ascii="Times New Roman" w:cs="Times New Roman" w:eastAsia="Times New Roman" w:hAnsi="Times New Roman"/>
          <w:sz w:val="18"/>
          <w:szCs w:val="18"/>
          <w:color w:val="auto"/>
        </w:rPr>
      </w:pPr>
    </w:p>
    <w:p>
      <w:pPr>
        <w:jc w:val="both"/>
        <w:ind w:left="652" w:hanging="652"/>
        <w:spacing w:after="0" w:line="261" w:lineRule="auto"/>
        <w:tabs>
          <w:tab w:leader="none" w:pos="65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instrument appointing a proxy may be in any usual or common form or such other form that complies with the Listing Rules as the Directors may from time to time approve, provided that it must be so worded as not to preclude the use of a two-way form, and shall enable a Shareholder, according to his intention, to instruct his proxy to vote in favour of or against (or in default of instructions or in the event of conflicting instructions, to exercise his discretion in respect of) each resolution to be proposed at the meeting to which the form of proxy relates.</w:t>
      </w:r>
    </w:p>
    <w:p>
      <w:pPr>
        <w:spacing w:after="0" w:line="179"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shall be deposited at the Registered Office or at such other place or in such other manner (including by electronic means) as is specified for that purpose in the notice convening the meeting, or in any instrument of proxy sent out by the Company:</w:t>
      </w:r>
    </w:p>
    <w:p>
      <w:pPr>
        <w:spacing w:after="0" w:line="161" w:lineRule="exact"/>
        <w:rPr>
          <w:rFonts w:ascii="Times New Roman" w:cs="Times New Roman" w:eastAsia="Times New Roman" w:hAnsi="Times New Roman"/>
          <w:sz w:val="18"/>
          <w:szCs w:val="18"/>
          <w:color w:val="auto"/>
        </w:rPr>
      </w:pPr>
    </w:p>
    <w:p>
      <w:pPr>
        <w:ind w:left="1292" w:right="20" w:hanging="644"/>
        <w:spacing w:after="0" w:line="282" w:lineRule="auto"/>
        <w:tabs>
          <w:tab w:leader="none" w:pos="129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less than 48 hours before the time for holding the meeting or adjourned meeting at which the person named in the instrument proposes to vote; or</w:t>
      </w:r>
    </w:p>
    <w:p>
      <w:pPr>
        <w:spacing w:after="0" w:line="161"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poll taken more than 48 hours after it is demanded, be deposited as aforesaid after the poll has been demanded and not less than 24 hours before the time appointed for the taking of the poll; or</w:t>
      </w:r>
    </w:p>
    <w:p>
      <w:pPr>
        <w:spacing w:after="0" w:line="161"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poll is not taken forthwith but is taken not more than 48 hours after it was demanded be delivered at the meeting at which the poll was demanded to the chairman of the meeting or to the secretary or to any Director;</w:t>
      </w:r>
    </w:p>
    <w:p>
      <w:pPr>
        <w:spacing w:after="0" w:line="162" w:lineRule="exact"/>
        <w:rPr>
          <w:sz w:val="20"/>
          <w:szCs w:val="20"/>
          <w:color w:val="auto"/>
        </w:rPr>
      </w:pPr>
    </w:p>
    <w:p>
      <w:pPr>
        <w:jc w:val="both"/>
        <w:ind w:left="652"/>
        <w:spacing w:after="0" w:line="256" w:lineRule="auto"/>
        <w:rPr>
          <w:sz w:val="20"/>
          <w:szCs w:val="20"/>
          <w:color w:val="auto"/>
        </w:rPr>
      </w:pPr>
      <w:r>
        <w:rPr>
          <w:rFonts w:ascii="Times New Roman" w:cs="Times New Roman" w:eastAsia="Times New Roman" w:hAnsi="Times New Roman"/>
          <w:sz w:val="18"/>
          <w:szCs w:val="18"/>
          <w:color w:val="auto"/>
        </w:rPr>
        <w:t>provided that the Directors may in the notice convening the meeting, or in an instrument of proxy sent out by the Company, direct that the instrument appointing a proxy may be deposited at such other time (no later than the time for holding the meeting or adjourned meeting) at the Registered Office or at such other place or in such other manner (including by electronic means) as is specified for that purpose in the notice convening the meeting, or in any instrument of proxy sent out by the Company. The chairman of the meeting may in any event at his discretion direct that an instrument of proxy shall be deemed to have been duly deposited. An instrument of proxy that is not deposited in the manner permitted shall be invalid.</w:t>
      </w:r>
    </w:p>
    <w:p>
      <w:pPr>
        <w:spacing w:after="0" w:line="187" w:lineRule="exact"/>
        <w:rPr>
          <w:sz w:val="20"/>
          <w:szCs w:val="20"/>
          <w:color w:val="auto"/>
        </w:rPr>
      </w:pPr>
    </w:p>
    <w:p>
      <w:pPr>
        <w:ind w:left="5532" w:right="2660" w:hanging="5532"/>
        <w:spacing w:after="0" w:line="783" w:lineRule="auto"/>
        <w:tabs>
          <w:tab w:leader="none" w:pos="65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shall be deemed to confer authority to demand or join in demanding a poll.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-296545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7" w:name="page28"/>
    <w:bookmarkEnd w:id="27"/>
    <w:p>
      <w:pPr>
        <w:jc w:val="both"/>
        <w:ind w:left="660" w:hanging="652"/>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in writing signed by all the Shareholders for the time being entitled to receive notice of and to attend and vote at general meetings of the Company (or being corporations by their duly authorized representatives) shall be as valid and effective as if the same had been passed at a general meeting of the Company duly convened and held.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CORPORATIONS ACTING BY REPRESENTATIVES AT MEETINGS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which is a Shareholder or a Director may by resolution of its directors or other governing body authorize such Person as it thinks fit to act as its representative at any meeting of the Company or of any meeting of holders of a Class or of the Directors or of a committee of Directors, and the Person so authorized shall be entitled to exercise the same powers on behalf of the corporation which he represents as that corporation could exercise if it were an individual Shareholder or Director.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DEPOSITARY AND CLEARING HOUSES</w:t>
      </w:r>
    </w:p>
    <w:p>
      <w:pPr>
        <w:spacing w:after="0" w:line="229" w:lineRule="exact"/>
        <w:rPr>
          <w:sz w:val="20"/>
          <w:szCs w:val="20"/>
          <w:color w:val="auto"/>
        </w:rPr>
      </w:pPr>
    </w:p>
    <w:p>
      <w:pPr>
        <w:jc w:val="both"/>
        <w:ind w:left="660" w:hanging="652"/>
        <w:spacing w:after="0" w:line="255"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recognized clearing house (or its nominee(s)) or depositary (or its nominee(s)) is a Member of the Company it may, by resolution of its directors or other governing body or by power of attorney, authorize such Person(s) as it thinks fit to act as its representative(s) at any general meeting of the Company or of any Class of Shareholders provided that, if more than one Person is so authorized, the authorization shall specify the number and Class of Shares in respect of which each such Person is so authorized. A Person so authorized pursuant to this Article shall be entitled to exercise the same powers on behalf of the recognized clearing house (or its nominee(s)) or depositary (or its nominee(s)) which he represents as that recognized clearing house (or its nominee(s)) or depositary (or its nominee(s)) could exercise if it were an individual Member holding the number and Class of Shares specified in such authorization.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Unless otherwise determined by the Company, the number of Directors shall not be less than three (3) Directors.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shall have a Chairman elected and appointed by a simple majority of the Directors then in office. The period for which the Chairman will hold office will also be determined by a simple majority of all of the Directors then in office. The Chairman shall preside as chairman at every meeting of the Board of Directors. To the extent the Chairman is not present at a meeting of the Board of Directors within sixty (60) minutes after the time appointed for holding the same, the attending Directors may choose one of their number to be the chairman of the meeting.</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Ordinary Resolution appoint any person to be a Director.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left="660" w:hanging="652"/>
        <w:spacing w:after="0" w:line="254"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provisions to the contrary in these Articles, at a general meeting convened at the request of or by requisitionists pursuant to Article 68, a person may be appointed or elected as a Director (other than an Independent Non-executive Director), or removed (with or without cause) as a Director (other than an Independent Non-executive Director), and the size of the Board may be increased by an ordinary resolution. For the purposes of this Article 96(d), an ordinary resolution means a resolution passed by Shareholders who, being entitled to do so, vote in person or, where proxies are allowed, by proxy at a general meeting of the Company and who together hold a simple majority of the votes carried by the issued Shares carrying the right to vote as at the record date of such general meeting. For the avoidance of doubt, a resolution in respect of the appointment, election or removal of any Independent Non-executive Director at a general meeting convened at the request of or by requisitionists pursuant to Article 68 shall be passed in accordance with Article 84.</w:t>
      </w:r>
    </w:p>
    <w:p>
      <w:pPr>
        <w:spacing w:after="0" w:line="19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every annual general meeting of the Company the Independent Non-Executive Directors for the time being shall retire from office by rotation provided that every Independent Non-Executive Director (including those appointed for a specific term) shall be subject to retirement by rotation at least once every three years. A retiring Independent Non-Executive Director shall retain office until the close of the meeting at which he retires and shall be eligible for re-election thereat.</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by the affirmative vote of a simple majority of the remaining Directors present and voting at a Board meeting, appoint any person as a Director, to fill a vacancy on the Board arising from the office of any other Director being vacated in any of the circumstances described in Article 97 or Article 130, or as an addition to the existing Board. Any Director so appointed shall hold office only until the first annual general meeting of the Company after his appointment and shall then be eligible for re-election at that meeting.</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 Each Director whose term of office expires shall be eligible for re-election at a meeting of the Shareholders or re-appointment by the Board.</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be eligible for election to the office of Director at any general meeting unless during the period, which shall be at least ten days, commencing no earlier than the day after the despatch of the notice of the meeting appointed for such election and ending no later than ten days prior to the date of such meeting, there has been given to the Secretary notice in writing by a Shareholder (not being the person to be proposed), entitled to attend and vote at the meeting for which such notice is given, of his intention to propose such person for election and also notice in writing signed by the person to be proposed of his willingness to be elected.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left="660" w:hanging="652"/>
        <w:spacing w:after="0" w:line="258"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(including a Managing Director or other executive Director) may be removed (with or without cause) from office by Ordinary Resolution of the Company before the expiration of his or her term of office, notwithstanding anything in any agreement between the Company and such Director (but without prejudice to any claim for damages under such agreement). A vacancy on the Board created by the removal of a Director under the previous sentence may be filled by Ordinary Resolution or by the affirmative vote of a simple majority of the remaining Directors present and voting at a Board meeting.</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the Board may, from time to time, and except as required by applicable law or Designated Stock Exchange Rules, adopt, institute, amend, modify or revoke the corporate governance policies or initiatives of the Company and determine on various corporate governance related matters of the Company as the Board shall determine by resolution of Directors from time to time. For the avoidance of doubt, if any corporate governance policies or initiatives of the Company adopted by resolution of the Board are inconsistent with the provisions in Article 96, Article 96 shall prevail.</w:t>
      </w:r>
    </w:p>
    <w:p>
      <w:pPr>
        <w:spacing w:after="0" w:line="18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shall not be required to hold any Shares in the Company by way of qualification. A Director who is not a Member of the Company shall nevertheless be entitled to attend and speak at general meetings. No mandatory retirement age shall apply to Directors.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remuneration of the Directors may be determined by the Directors or by Ordinary Resolution. Payment to any Director or past Director of any sum by way of compensation for loss of office or as consideration for or in connection with his retirement from office (not being a payment to which the Director is contractually entitled) must first be approved by the Company in general meeting.</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be entitled to be paid for their travelling, hotel and other expenses properly incurred by them in going to, attending and returning from meetings of the Directors, or any committee of the Directors, or general meetings of the Company, or otherwise in connection with the business of the Company, or to receive such fixed allowance in respect thereof as may be determined by the Directors from time to time, or a combination partly of one such method and partly the other.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NON-EXECUTIVE DIRECTORS</w:t>
      </w:r>
    </w:p>
    <w:p>
      <w:pPr>
        <w:spacing w:after="0" w:line="229"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role of an Independent Non-executive Director shall include, but is not limited to:</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Board meetings to bring an independent judgment to bear on issues of strategy, policy, performance, accountability, resources, key appointments and standards of conduct;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the lead where potential conflicts of interests arise;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on the audit, remuneration, nomination and other governance committees, if invited;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scrutinising the Company’s performance in achieving agreed corporate goals and objectives, and monitoring performance reporting.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left="660" w:hanging="652"/>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Non-executive Directors shall give the Board and any committees on which they serve the benefit of their skills, expertise and varied backgrounds and qualifications through regular attendance and active participation. They should also attend general meetings and develop a balanced understanding of the views of the members.</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Non-executive Directors shall make a positive contribution to the development of the Company’s strategy and policies through independent, constructive and informed comments.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ALTERNATE DIRECTOR OR PROXY</w:t>
      </w:r>
    </w:p>
    <w:p>
      <w:pPr>
        <w:spacing w:after="0" w:line="229" w:lineRule="exact"/>
        <w:rPr>
          <w:sz w:val="20"/>
          <w:szCs w:val="20"/>
          <w:color w:val="auto"/>
        </w:rPr>
      </w:pPr>
    </w:p>
    <w:p>
      <w:pPr>
        <w:jc w:val="both"/>
        <w:ind w:left="660" w:hanging="652"/>
        <w:spacing w:after="0" w:line="272" w:lineRule="auto"/>
        <w:tabs>
          <w:tab w:leader="none" w:pos="6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Director may in writing appoint another Person to be his alternate and, save to the extent provided otherwise in the form of appointment, such alternate shall have authority to sign written resolutions on behalf of the appointing Director, but shall not be required to sign such written resolutions where they have been signed by the appointing director, and to act in such Director’s place at any meeting of the Directors at which the appointing Director is unable to be present. Every such alternate shall be entitled to attend and vote at meetings of the Directors as a Director when the Director appointing him is not personally present and where he is a Director to have a separate vote on behalf of the Director he is representing in addition to his own vote. A Director may at any time in writing revoke the appointment of an alternate appointed by him. Such alternate shall be deemed for all purposes to be a Director and shall not be deemed to be the agent of the Director appointing him. The remuneration of such alternate shall be payable out of the remuneration of the Director appointing him and the proportion thereof shall be agreed between them.</w:t>
      </w:r>
    </w:p>
    <w:p>
      <w:pPr>
        <w:spacing w:after="0" w:line="171" w:lineRule="exact"/>
        <w:rPr>
          <w:rFonts w:ascii="Times New Roman" w:cs="Times New Roman" w:eastAsia="Times New Roman" w:hAnsi="Times New Roman"/>
          <w:sz w:val="17"/>
          <w:szCs w:val="17"/>
          <w:color w:val="auto"/>
        </w:rPr>
      </w:pPr>
    </w:p>
    <w:p>
      <w:pPr>
        <w:jc w:val="both"/>
        <w:ind w:left="660" w:hanging="652"/>
        <w:spacing w:after="0" w:line="258"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appoint any Person, whether or not a Director, to be the proxy of that Director to attend and vote on his behalf, in accordance with instructions given by that Director, or in the absence of such instructions at the discretion of the proxy, at a meeting or meetings of the Directors which that Director is unable to attend personally. The instrument appointing the proxy shall be in writing under the hand of the appointing Director and shall be in any usual or common form or such other form as the Directors may approve, and must be lodged with the chairman of the meeting of the Directors at which such proxy is to be used, or first used, prior to the commencement of the meeting.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POWERS AND DUTIES OF DIRECTORS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these Articles and any resolutions passed in a general meeting, the business of the Company shall be managed by the Directors, who may pay all expenses incurred in setting up and registering the Company and may exercise all powers of the Company. No resolution passed by the Company in general meeting shall invalidate any prior act of the Directors that would have been valid if that resolution had not been passed.</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the Directors may from time to time appoint any natural person or corporation, whether or not a Director to hold such office in the Company as the Directors may think necessary for the administration of the Company, including but not limited to, chief executive officer, one or more other executive officers, president, one or more vice-presidents, treasurer, assistant treasurer, manager or controller, and for such term and at such remuneration (whether by way of salary or commission or participation in profits or partly in one way and partly in another), and with such powers and duties as the Directors may think fit. Any natural person or corporation so appointed by the Directors may be removed by the Directors. The Directors may also appoint one or more of their number to the office of managing director upon like terms, but any such appointment shall ipso facto terminate if any managing director ceases for any cause to be a Director, or if the Company by Ordinary Resolution resolves that his tenure of office be terminated.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left="660" w:hanging="652"/>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appoint any natural person or corporation to be a Secretary (and if need be an assistant Secretary or assistant Secretaries) who shall hold office for such term, at such remuneration and upon such conditions and with such powers as they think fit. Any Secretary or assistant Secretary so appointed by the Directors may be removed by the Directors or by the Company by Ordinary Resolution.</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delegate any of their powers to committees consisting of such member or members of their body as they think fit; any committee so formed shall in the exercise of the powers so delegated conform to any regulations that may be imposed on it by the Directors.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and at any time by power of attorney (whether under Seal or under hand) or otherwise appoint any company, firm or Person or body of Persons, whether nominated directly or indirectly by the Directors, to be the attorney or attorneys or authorized signatory (any such Person being an “Attorney” or “Authorized Signatory”, respectively) of the Company for such purposes and with such powers, authorities and discretion (not exceeding those vested in or exercisable by the Directors under these Articles) and for such period and subject to such conditions as they may think fit, and any such power of attorney or other appointment may contain such provisions for the protection and convenience of Persons dealing with any such Attorney or Authorized Signatory as the Directors may think fit, and may also authorize any such Attorney or Authorized Signatory to delegate all or any of the powers, authorities and discretion vested in him.</w:t>
      </w:r>
    </w:p>
    <w:p>
      <w:pPr>
        <w:spacing w:after="0" w:line="188"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provide for the management of the affairs of the Company in such manner as they shall think fit and the provisions contained in the three next following Articles shall not limit the general powers conferred by this Article.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from time to time and at any time may establish any committees, local boards or agencies for managing any of the affairs of the Company and may appoint any natural person or corporation to be a member of such committees or local boards and may appoint any managers or agents of the Company and may fix the remuneration of any such natural person or corporation.</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from time to time and at any time may delegate to any such committee, local board, manager or agent any of the powers, authorities and discretions for the time being vested in the Directors and may authorize the members for the time being of any such local board, or any of them to fill any vacancies therein and to act notwithstanding vacancies and any such appointment or delegation may be made on such terms and subject to such conditions as the Directors may think fit and the Directors may at any time remove any natural person or corporation so appointed and may annul or vary any such delegation, but no Person dealing in good faith and without notice of any such annulment or variation shall be affected thereby.</w:t>
      </w:r>
    </w:p>
    <w:p>
      <w:pPr>
        <w:spacing w:after="0" w:line="18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delegates as aforesaid may be authorized by the Directors to sub-delegate all or any of the powers, authorities, and discretion for the time being vested in them.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ind w:left="660" w:hanging="65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115A.</w:t>
        <w:tab/>
        <w:t>Except as would be permitted by the Companies Ordinance if the Company were a company incorporated in Hong Kong, the Company shall not directly or indirectly:</w:t>
      </w:r>
    </w:p>
    <w:p>
      <w:pPr>
        <w:spacing w:after="0" w:line="162" w:lineRule="exact"/>
        <w:rPr>
          <w:sz w:val="20"/>
          <w:szCs w:val="20"/>
          <w:color w:val="auto"/>
        </w:rPr>
      </w:pPr>
    </w:p>
    <w:p>
      <w:pPr>
        <w:ind w:left="1300" w:hanging="644"/>
        <w:spacing w:after="0" w:line="282" w:lineRule="auto"/>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loan to a Director or his close associates or a director of any holding company of the Company or a body corporate controlled by such a director or Director;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guarantee or provide any security in connection with a loan made by any person to a Director or such a director or a body corporate controlled by such a director or Director; or</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one or more of the Directors hold (jointly or severally or directly or indirectly) a controlling interest in another company, make a loan to that other company or enter into any guarantee or provide any security in connection with a loan made by any person to that other company.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NOMINATION COMMITTEE</w:t>
      </w:r>
    </w:p>
    <w:p>
      <w:pPr>
        <w:spacing w:after="0" w:line="229" w:lineRule="exact"/>
        <w:rPr>
          <w:sz w:val="20"/>
          <w:szCs w:val="20"/>
          <w:color w:val="auto"/>
        </w:rPr>
      </w:pPr>
    </w:p>
    <w:p>
      <w:pPr>
        <w:jc w:val="both"/>
        <w:ind w:left="660" w:hanging="652"/>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establish a Nomination Committee (which may be combined with the Corporate Governance Committee to form a single nominating and corporate governance committee (the “</w:t>
      </w:r>
      <w:r>
        <w:rPr>
          <w:rFonts w:ascii="Times New Roman" w:cs="Times New Roman" w:eastAsia="Times New Roman" w:hAnsi="Times New Roman"/>
          <w:sz w:val="18"/>
          <w:szCs w:val="18"/>
          <w:b w:val="1"/>
          <w:bCs w:val="1"/>
          <w:color w:val="auto"/>
        </w:rPr>
        <w:t>Nominating and Corporate Governance Committee</w:t>
      </w:r>
      <w:r>
        <w:rPr>
          <w:rFonts w:ascii="Times New Roman" w:cs="Times New Roman" w:eastAsia="Times New Roman" w:hAnsi="Times New Roman"/>
          <w:sz w:val="18"/>
          <w:szCs w:val="18"/>
          <w:color w:val="auto"/>
        </w:rPr>
        <w:t>”), which shall perform the following duties: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structure, size and composition (including the skills, knowledge and experience) of the Board at least annually, assist the Board in maintaining a board skills matrix and make recommendations on any proposed changes to the Board to complement the Company’s corporate strategy;</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individuals suitably qualified to become Directors and select or make recommendations to the Board on the selection of individuals nominated for directorships;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the independence of Independent Non-executive Directors;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recommendations to the Board on the appointment or re-appointment of Directors and succession planning for Directors, in particular the chairman and the chief executive officer of the Company;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the Company’s regular evaluation of the Board’s performance.</w:t>
      </w:r>
    </w:p>
    <w:p>
      <w:pPr>
        <w:spacing w:after="0" w:line="22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Nomination Committee shall comprise a majority of Independent Non-executive Directors, and the chairman of the Nomination Committee shall be an Independent Non-executive Director.</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Nomination Committee shall make available its terms of reference explaining its role and the authority delegated to it by the Board by publishing them on the The Stock Exchange of Hong Kong Limited’s Website and the Company’s Website.</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provide the Nomination Committee sufficient resources to perform its duties. Where necessary, the Nomination Committee shall seek independent professional advice, at the Company’s expense, to perform its responsibilities.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ind w:left="652" w:hanging="652"/>
        <w:spacing w:after="0" w:line="282" w:lineRule="auto"/>
        <w:tabs>
          <w:tab w:leader="none" w:pos="65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Board proposes a resolution to elect an individual as an Independent Non-executive Director at a general meeting, the circular to the members and/or explanatory statement accompanying the notice of the relevant general meeting shall set out:</w:t>
      </w:r>
    </w:p>
    <w:p>
      <w:pPr>
        <w:spacing w:after="0" w:line="161"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process used for identifying the individual and why the Board believes the individual should be elected and the reasons why it considers the individual to be independent;</w:t>
      </w:r>
    </w:p>
    <w:p>
      <w:pPr>
        <w:spacing w:after="0" w:line="161" w:lineRule="exact"/>
        <w:rPr>
          <w:rFonts w:ascii="Times New Roman" w:cs="Times New Roman" w:eastAsia="Times New Roman" w:hAnsi="Times New Roman"/>
          <w:sz w:val="18"/>
          <w:szCs w:val="18"/>
          <w:color w:val="auto"/>
        </w:rPr>
      </w:pPr>
    </w:p>
    <w:p>
      <w:pPr>
        <w:ind w:left="1292" w:right="20" w:hanging="644"/>
        <w:spacing w:after="0" w:line="282" w:lineRule="auto"/>
        <w:tabs>
          <w:tab w:leader="none" w:pos="129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proposed Independent Non-executive Director will be holding their seventh (or more) listed company directorship, why the Board believes the individual would still be able to devote sufficient time to the board;</w:t>
      </w:r>
    </w:p>
    <w:p>
      <w:pPr>
        <w:spacing w:after="0" w:line="161"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perspectives, skills and experience that the individual can bring to the Board; and</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the individual contributes to diversity of the Board.</w:t>
      </w:r>
    </w:p>
    <w:p>
      <w:pPr>
        <w:spacing w:after="0" w:line="2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CORPORATE GOVERNANCE COMMITTEE</w:t>
      </w:r>
    </w:p>
    <w:p>
      <w:pPr>
        <w:spacing w:after="0" w:line="229" w:lineRule="exact"/>
        <w:rPr>
          <w:sz w:val="20"/>
          <w:szCs w:val="20"/>
          <w:color w:val="auto"/>
        </w:rPr>
      </w:pPr>
    </w:p>
    <w:p>
      <w:pPr>
        <w:ind w:left="652" w:right="20" w:hanging="652"/>
        <w:spacing w:after="0" w:line="282" w:lineRule="auto"/>
        <w:tabs>
          <w:tab w:leader="none" w:pos="65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establish a Corporate Governance Committee (which may be combined with the Nomination Committee to form a single Nominating and Corporate Governance Committee), which shall perform the following duties:</w:t>
      </w:r>
    </w:p>
    <w:p>
      <w:pPr>
        <w:spacing w:after="0" w:line="161"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review the Company’s policies and practices on corporate governance and make recommendations to the Board;</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monitor the training and continuous professional development of Directors and senior management;</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monitor the Company’s policies and practices on compliance with legal and regulatory requirements;</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review and monitor the code of conduct and compliance manual (if any) applicable to employees and Directors;</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Company’s compliance with the code and disclosure in the Corporate Governance Report;</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monitor whether the Company is operated and managed for the benefit of all of its members;</w:t>
      </w:r>
    </w:p>
    <w:p>
      <w:pPr>
        <w:spacing w:after="0" w:line="225" w:lineRule="exact"/>
        <w:rPr>
          <w:rFonts w:ascii="Times New Roman" w:cs="Times New Roman" w:eastAsia="Times New Roman" w:hAnsi="Times New Roman"/>
          <w:sz w:val="18"/>
          <w:szCs w:val="18"/>
          <w:color w:val="auto"/>
        </w:rPr>
      </w:pPr>
    </w:p>
    <w:p>
      <w:pPr>
        <w:jc w:val="both"/>
        <w:ind w:left="1292" w:hanging="644"/>
        <w:spacing w:after="0" w:line="266" w:lineRule="auto"/>
        <w:tabs>
          <w:tab w:leader="none" w:pos="129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 on an annual basis, that each holder of Class B Ordinary Shares (or where a holder is a Director Holding Vehicle, the person holding and controlling such vehicle) has been a Director throughout the year and that none of the events set out in Article 15 have occurred during the relevant financial year;</w:t>
      </w:r>
    </w:p>
    <w:p>
      <w:pPr>
        <w:spacing w:after="0" w:line="175"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 on an annual basis, that each holder of Class B Ordinary Shares (or where a holder is a Director Holding Vehicle, the Director holding and controlling such vehicle) has complied with Articles 15, 21, 22 and 84 throughout the year;</w:t>
      </w:r>
    </w:p>
    <w:p>
      <w:pPr>
        <w:spacing w:after="0" w:line="37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34" w:name="page35"/>
    <w:bookmarkEnd w:id="34"/>
    <w:p>
      <w:pPr>
        <w:jc w:val="both"/>
        <w:ind w:left="1300" w:hanging="644"/>
        <w:spacing w:after="0" w:line="266" w:lineRule="auto"/>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monitor the management of conflicts of interests and make a recommendation to the Board on any matter where there is a potential conflict of interest between the Company, a subsidiary of the Company and/or holders of Class A Ordinary Shares (considered as a group) on the one hand, and any holder of Class B Ordinary Shares on the other;</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monitor all risks related to the Company’s weighted voting rights structure, including connected transactions between the Company and/or a subsidiary of the Company on the one hand, and any holder of Class B Ordinary Shares on the other, and make a recommendation to the Board on any such transaction;</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recommendation to the Board as to the appointment or removal of the Compliance Adviser;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ensure effective and on-going communication between the Company and its members, particularly with regards to the requirements of Article 178;</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on the work of the Corporate Governance Committee on at least a half-yearly and annual basis covering all areas of this Article 121;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on a comply or explain basis, its recommendations to the Board in respect of matters in Articles 121(i) to (k) in the report referred to in Article 121(m).</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Governance Committee shall comprise entirely of Independent Non-executive Directors, one of whom shall act as its chairman.</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Governance Report produced by the Company pursuant to the Listing Rules shall include a summary of the work of the Corporate Governance Committee, with regards to its duties set out in Article 121, for the accounting period covered by both the half-yearly and annual report and disclose any significant subsequent events for the period up to the date of publication of the half-yearly and annual report, to the extent possible.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COMPLIANCE ADVISER</w:t>
      </w:r>
    </w:p>
    <w:p>
      <w:pPr>
        <w:spacing w:after="0" w:line="229" w:lineRule="exact"/>
        <w:rPr>
          <w:sz w:val="20"/>
          <w:szCs w:val="20"/>
          <w:color w:val="auto"/>
        </w:rPr>
      </w:pPr>
    </w:p>
    <w:p>
      <w:pPr>
        <w:ind w:left="660" w:hanging="652"/>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appoint a Compliance Adviser on a permanent basis. The Board shall consult with and, if necessary, seek advice from the Compliance Adviser, on a timely and ongoing basis, in the following circumstances: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publication of any regulatory announcement, circular or financial report by the Company;</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transaction, which might be a notifiable or connected transaction (as defined in the Listing Rules), is contemplated by the Company including share issues and share repurchases;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Company proposes to use the proceeds of its initial public offering in a manner different from that detailed in the listing document in respect of such initial public offering, or where the business activities, developments or results of the Company deviate from any forecast, estimate or other information set out in such listing document;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ind w:left="1292" w:hanging="644"/>
        <w:spacing w:after="0"/>
        <w:tabs>
          <w:tab w:leader="none" w:pos="1292"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Stock Exchange of Hong Kong Limited makes an inquiry of the Company under the Listing Rules.</w:t>
      </w:r>
    </w:p>
    <w:p>
      <w:pPr>
        <w:spacing w:after="0" w:line="225"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also consult with, and if necessary, seek advice from the Compliance Adviser, on a timely and ongoing basis, on any matters related to:</w:t>
      </w:r>
    </w:p>
    <w:p>
      <w:pPr>
        <w:spacing w:after="0" w:line="161"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voting rights structure of the Company;</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which the holders of Class B Ordinary Shares have an interest; and</w:t>
      </w:r>
    </w:p>
    <w:p>
      <w:pPr>
        <w:spacing w:after="0" w:line="225"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there is a potential conflict of interest between the Company, a subsidiary of the Company and/or holders of Class A Ordinary Shares (considered as a group) on the one hand, and any holder of Class B Ordinary Shares on the other.</w:t>
      </w:r>
    </w:p>
    <w:p>
      <w:pPr>
        <w:spacing w:after="0" w:line="15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BORROWING POWERS OF DIRECTORS</w:t>
      </w:r>
    </w:p>
    <w:p>
      <w:pPr>
        <w:spacing w:after="0" w:line="229" w:lineRule="exact"/>
        <w:rPr>
          <w:sz w:val="20"/>
          <w:szCs w:val="20"/>
          <w:color w:val="auto"/>
        </w:rPr>
      </w:pPr>
    </w:p>
    <w:p>
      <w:pPr>
        <w:jc w:val="both"/>
        <w:ind w:left="652" w:hanging="652"/>
        <w:spacing w:after="0" w:line="266" w:lineRule="auto"/>
        <w:tabs>
          <w:tab w:leader="none" w:pos="65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at their discretion exercise all the powers of the Company to raise or borrow money and to mortgage or charge its undertaking, property and assets (present and future) and uncalled capital or any part thereof, to issue debentures, debenture stock, bonds and other securities, whether outright or as collateral security for any debt, liability or obligation of the Company or of any third party.</w:t>
      </w:r>
    </w:p>
    <w:p>
      <w:pPr>
        <w:spacing w:after="0" w:line="17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THE SEAL</w:t>
      </w:r>
    </w:p>
    <w:p>
      <w:pPr>
        <w:spacing w:after="0" w:line="229" w:lineRule="exact"/>
        <w:rPr>
          <w:sz w:val="20"/>
          <w:szCs w:val="20"/>
          <w:color w:val="auto"/>
        </w:rPr>
      </w:pPr>
    </w:p>
    <w:p>
      <w:pPr>
        <w:jc w:val="both"/>
        <w:ind w:left="652" w:hanging="652"/>
        <w:spacing w:after="0" w:line="261" w:lineRule="auto"/>
        <w:tabs>
          <w:tab w:leader="none" w:pos="65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Seal shall not be affixed to any instrument except by the authority of a resolution of the Directors provided always that such authority may be given prior to or after the affixing of the Seal and if given after may be in general form confirming a number of affixings of the Seal. The Seal shall be affixed in the presence of a Director or a Secretary (or an assistant Secretary) or in the presence of any one or more Persons as the Directors may appoint for the purpose and every Person as aforesaid shall sign every instrument to which the Seal is so affixed in their presence.</w:t>
      </w:r>
    </w:p>
    <w:p>
      <w:pPr>
        <w:spacing w:after="0" w:line="179" w:lineRule="exact"/>
        <w:rPr>
          <w:rFonts w:ascii="Times New Roman" w:cs="Times New Roman" w:eastAsia="Times New Roman" w:hAnsi="Times New Roman"/>
          <w:sz w:val="18"/>
          <w:szCs w:val="18"/>
          <w:color w:val="auto"/>
        </w:rPr>
      </w:pPr>
    </w:p>
    <w:p>
      <w:pPr>
        <w:jc w:val="both"/>
        <w:ind w:left="652" w:hanging="652"/>
        <w:spacing w:after="0" w:line="255" w:lineRule="auto"/>
        <w:tabs>
          <w:tab w:leader="none" w:pos="65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maintain a facsimile of the Seal in such countries or places as the Directors may appoint and such facsimile Seal shall not be affixed to any instrument except by the authority of a resolution of the Directors provided always that such authority may be given prior to or after the affixing of such facsimile Seal and if given after may be in general form confirming a number of affixings of such facsimile Seal. The facsimile Seal shall be affixed in the presence of such Person or Persons as the Directors shall for this purpose appoint and such Person or Persons as aforesaid shall sign every instrument to which the facsimile Seal is so affixed in their presence and such affixing of the facsimile Seal and signing as aforesaid shall have the same meaning and effect as if the Seal had been affixed in the presence of and the instrument signed by a Director or a Secretary (or an assistant Secretary) or in the presence of any one or more Persons as the Directors may appoint for the purpose.</w:t>
      </w:r>
    </w:p>
    <w:p>
      <w:pPr>
        <w:spacing w:after="0" w:line="188" w:lineRule="exact"/>
        <w:rPr>
          <w:rFonts w:ascii="Times New Roman" w:cs="Times New Roman" w:eastAsia="Times New Roman" w:hAnsi="Times New Roman"/>
          <w:sz w:val="18"/>
          <w:szCs w:val="18"/>
          <w:color w:val="auto"/>
        </w:rPr>
      </w:pPr>
    </w:p>
    <w:p>
      <w:pPr>
        <w:jc w:val="both"/>
        <w:ind w:left="652" w:hanging="652"/>
        <w:spacing w:after="0" w:line="266" w:lineRule="auto"/>
        <w:tabs>
          <w:tab w:leader="none" w:pos="65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 Secretary or any assistant Secretary shall have the authority to affix the Seal, or the facsimile Seal, to any instrument for the purposes of attesting authenticity of the matter contained therein but which does not create any obligation binding on the Company.</w:t>
      </w:r>
    </w:p>
    <w:p>
      <w:pPr>
        <w:spacing w:after="0" w:line="39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36" w:name="page37"/>
    <w:bookmarkEnd w:id="36"/>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DISQUALIFICATION OF DIRECTORS</w:t>
      </w:r>
    </w:p>
    <w:p>
      <w:pPr>
        <w:spacing w:after="0" w:line="229" w:lineRule="exact"/>
        <w:rPr>
          <w:sz w:val="20"/>
          <w:szCs w:val="20"/>
          <w:color w:val="auto"/>
        </w:rPr>
      </w:pPr>
    </w:p>
    <w:p>
      <w:pPr>
        <w:ind w:left="652" w:hanging="652"/>
        <w:spacing w:after="0"/>
        <w:tabs>
          <w:tab w:leader="none" w:pos="65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Director shall be vacated, if the Director:</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bankrupt or makes any arrangement or composition with his creditors;</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dies or is found to be or becomes of unsound mind;</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resigns his office by notice in writing to the Company;</w:t>
      </w:r>
    </w:p>
    <w:p>
      <w:pPr>
        <w:spacing w:after="0" w:line="225"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special leave of absence from the Board, is absent from meetings of the Board for three consecutive meetings and the Board resolves that his office be vacated; or</w:t>
      </w:r>
    </w:p>
    <w:p>
      <w:pPr>
        <w:spacing w:after="0" w:line="161"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removed from office pursuant to any other provision of these Articles.</w:t>
      </w:r>
    </w:p>
    <w:p>
      <w:pPr>
        <w:spacing w:after="0" w:line="2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PROCEEDINGS OF DIRECTORS</w:t>
      </w:r>
    </w:p>
    <w:p>
      <w:pPr>
        <w:spacing w:after="0" w:line="229" w:lineRule="exact"/>
        <w:rPr>
          <w:sz w:val="20"/>
          <w:szCs w:val="20"/>
          <w:color w:val="auto"/>
        </w:rPr>
      </w:pPr>
    </w:p>
    <w:p>
      <w:pPr>
        <w:jc w:val="both"/>
        <w:ind w:left="652" w:hanging="652"/>
        <w:spacing w:after="0" w:line="258" w:lineRule="auto"/>
        <w:tabs>
          <w:tab w:leader="none" w:pos="65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meet together (either within or outside the Cayman Islands) for the dispatch of business, adjourn, and otherwise regulate their meetings and proceedings as they think fit. Questions arising at any meeting shall be decided by a simple majority of votes. At any meeting of the Directors, each Director present in person or represented by his proxy or alternate shall be entitled to one vote. In case of an equality of votes the Chairman shall have a second or casting vote. A Director may, and a Secretary or assistant Secretary on the requisition of a Director shall, at any time summon a meeting of the Directors.</w:t>
      </w:r>
    </w:p>
    <w:p>
      <w:pPr>
        <w:spacing w:after="0" w:line="183" w:lineRule="exact"/>
        <w:rPr>
          <w:rFonts w:ascii="Times New Roman" w:cs="Times New Roman" w:eastAsia="Times New Roman" w:hAnsi="Times New Roman"/>
          <w:sz w:val="18"/>
          <w:szCs w:val="18"/>
          <w:color w:val="auto"/>
        </w:rPr>
      </w:pPr>
    </w:p>
    <w:p>
      <w:pPr>
        <w:jc w:val="both"/>
        <w:ind w:left="652" w:hanging="652"/>
        <w:spacing w:after="0" w:line="266" w:lineRule="auto"/>
        <w:tabs>
          <w:tab w:leader="none" w:pos="65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participate in any meeting of the Directors, or of any committee appointed by the Directors of which such Director is a member, by means of telephone or similar communication equipment by way of which all Persons participating in such meeting can communicate with each other and such participation shall be deemed to constitute presence in person at the meeting.</w:t>
      </w:r>
    </w:p>
    <w:p>
      <w:pPr>
        <w:spacing w:after="0" w:line="175" w:lineRule="exact"/>
        <w:rPr>
          <w:rFonts w:ascii="Times New Roman" w:cs="Times New Roman" w:eastAsia="Times New Roman" w:hAnsi="Times New Roman"/>
          <w:sz w:val="18"/>
          <w:szCs w:val="18"/>
          <w:color w:val="auto"/>
        </w:rPr>
      </w:pPr>
    </w:p>
    <w:p>
      <w:pPr>
        <w:jc w:val="both"/>
        <w:ind w:left="652" w:hanging="652"/>
        <w:spacing w:after="0" w:line="266" w:lineRule="auto"/>
        <w:tabs>
          <w:tab w:leader="none" w:pos="65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necessary for the transaction of the business of the Board may be fixed by the Directors, and unless so fixed, the quorum shall be a simple majority of Directors then in office and one of whom shall be the Chairman (or his/her alternate Director). A Director represented by proxy or by an alternate Director at any meeting shall be deemed to be present for the purposes of determining whether or not a quorum is present.</w:t>
      </w:r>
    </w:p>
    <w:p>
      <w:pPr>
        <w:spacing w:after="0" w:line="175" w:lineRule="exact"/>
        <w:rPr>
          <w:rFonts w:ascii="Times New Roman" w:cs="Times New Roman" w:eastAsia="Times New Roman" w:hAnsi="Times New Roman"/>
          <w:sz w:val="18"/>
          <w:szCs w:val="18"/>
          <w:color w:val="auto"/>
        </w:rPr>
      </w:pPr>
    </w:p>
    <w:p>
      <w:pPr>
        <w:jc w:val="both"/>
        <w:ind w:left="652" w:hanging="652"/>
        <w:spacing w:after="0" w:line="253" w:lineRule="auto"/>
        <w:tabs>
          <w:tab w:leader="none" w:pos="65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is in any way, whether directly or indirectly, interested in a contract or transaction or proposed contract or transaction with the Company shall declare the nature of his interest at the earliest meeting of the Board at which it is practicable for him to do so. A general notice given to the Directors by any Director to the effect that he is a member of any specified company or firm and is to be regarded as interested in any contract or transaction which may thereafter be made with that company or firm shall be deemed a sufficient declaration of interest in regard to any contract so made or transaction so consummated. Subject to the Designated Stock Exchange Rules and disqualification by the chairman of the relevant Board meeting, a Director may vote in respect of any contract or transaction or proposed contract or transaction notwithstanding that he may be interested therein and if he does so his vote shall be counted and he may be counted in the quorum at any meeting of the Directors at which any such contract or transaction or proposed contract or transaction shall come before the meeting for consideration. Unless permitted under the Listing Rules, a Director shall not be entitled to vote on (nor shall be counted in the quorum in relation to) any resolution of the Board in respect of any contract or arrangement or any other proposal whatsoever in which he or any of his close associates (or, if required by the Listing Rules, his other associates) has any material interest, and if he shall do so his vote shall not be counted (nor is he to be counted in the quorum for the resolution).</w:t>
      </w:r>
    </w:p>
    <w:p>
      <w:pPr>
        <w:spacing w:after="0" w:line="200" w:lineRule="exact"/>
        <w:rPr>
          <w:sz w:val="20"/>
          <w:szCs w:val="20"/>
          <w:color w:val="auto"/>
        </w:rPr>
      </w:pPr>
    </w:p>
    <w:p>
      <w:pPr>
        <w:spacing w:after="0" w:line="20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37" w:name="page38"/>
    <w:bookmarkEnd w:id="37"/>
    <w:p>
      <w:pPr>
        <w:jc w:val="both"/>
        <w:ind w:left="660" w:hanging="652"/>
        <w:spacing w:after="0" w:line="254"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hold any other office or place of profit under the Company (other than the office of auditor) in conjunction with his office of Director for such period and on such terms (as to remuneration and otherwise) as the Directors may determine and no Director or intending Director shall be disqualified by his office from contracting with the Company either with regard to his tenure of any such other office or place of profit or as vendor, purchaser or otherwise, nor shall any such contract or arrangement entered into by or on behalf of the Company in which any Director is in any way interested be liable to be avoided, nor shall any Director so contracting or being so interested be liable to account to the Company for any profit realized by any such contract or arrangement by reason of such Director holding that office or of the fiduciary relation thereby established. A Director, notwithstanding his interest, may be counted in the quorum present at any meeting of the Directors whereat he or any other Director is appointed to hold any such office or place of profit under the Company or whereat the terms of any such appointment are arranged and he may vote on any such appointment or arrangement.</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act by himself or through his firm in a professional capacity for the Company, and he or his firm shall be entitled to remuneration for professional services as if he were not a Director; provided that nothing herein contained shall authorize a Director or his firm to act as auditor to the Company.</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cause minutes to be made for the purpose of recording:</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appointments of officers made by the Directors;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Directors present at each meeting of the Directors and of any committee of the Directors;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resolutions and proceedings at all meetings of the Company, and of the Directors and of committees of Directors.</w:t>
      </w:r>
    </w:p>
    <w:p>
      <w:pPr>
        <w:spacing w:after="0" w:line="22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chairman of a meeting of the Directors signs the minutes of such meeting the same shall be deemed to have been duly held notwithstanding that all the Directors have not actually come together or that there may have been a technical defect in the proceedings.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in writing signed by all the Directors or all the members of a committee of Directors entitled to receive notice of a meeting of Directors or committee of Directors, as the case may be (an alternate Director, subject as provided otherwise in the terms of appointment of the alternate Director, being entitled to sign such a resolution on behalf of his appointer), shall be as valid and effectual as if it had been passed at a duly called and constituted meeting of Directors or committee of Directors, as the case may be. When signed a resolution may consist of several documents each signed by one or more of the Directors or his duly appointed alternate.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left="660" w:hanging="652"/>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Directors may act notwithstanding any vacancy in their body but if and for so long as their number is reduced below the number fixed by or pursuant to these Articles as the necessary quorum of Directors, the continuing Directors may act for the purpose of increasing the number, or of summoning a general meeting of the Company, but for no other purpose.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regulations imposed on it by the Directors, a committee appointed by the Directors may elect a chairman of its meetings. If no such chairman is elected, or if at any meeting the chairman is not present within fifteen minutes after the time appointed for holding the meeting, the committee members present may choose one of their number to be chairman of the meeting.</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committee appointed by the Directors may meet and adjourn as it thinks proper. Subject to any regulations imposed on it by the Directors, questions arising at any meeting shall be determined by a simple majority of votes of the committee members present and in case of an equality of votes the chairman shall have a second or casting vote.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PRESUMPTION OF ASSENT</w:t>
      </w:r>
    </w:p>
    <w:p>
      <w:pPr>
        <w:spacing w:after="0" w:line="229" w:lineRule="exact"/>
        <w:rPr>
          <w:sz w:val="20"/>
          <w:szCs w:val="20"/>
          <w:color w:val="auto"/>
        </w:rPr>
      </w:pPr>
    </w:p>
    <w:p>
      <w:pPr>
        <w:jc w:val="both"/>
        <w:ind w:left="660" w:hanging="652"/>
        <w:spacing w:after="0" w:line="258"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is present at a meeting of the Board of Directors at which an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favor of such action.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Shares, the Directors may from time to time declare dividends (including interim dividends) and other distributions on Shares in issue and authorize payment of the same out of the funds of the Company lawfully available therefor.</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Shares, the Company by Ordinary Resolution may declare dividends, but no dividend shall exceed the amount recommended by the Directors.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equalizing dividends or for any other purpose to which those funds may be properly applied, and pending such application may in the absolute discretion of the Directors, either be employed in the business of the Company or be invested in such investments (other than Shares of the Company) as the Directors may from time to time think fit.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left="660" w:hanging="652"/>
        <w:spacing w:after="0" w:line="258"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payable in cash to the holder of Shares may be paid in any manner determined by the Directors. If paid by cheque it will be sent by mail addressed to the holder at his address in the Register, or addressed to such person and at such addresses as the holder may direct. Every such cheque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cheque or warrant by the bank on which it is drawn shall constitute a good discharge to the Company.</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determine that a dividend shall be paid wholly or partly by the distribution of specific assets (which may consist of the shares or securities of any other company) and may settle all questions concerning such distribution. Without limiting the generality of the foregoing, the Directors may fix the value of such specific assets, may determine that cash payment shall be made to some Shareholders in lieu of specific assets and may vest any such specific assets in trustees on such terms as the Directors think fit.</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Shares, all dividends shall be declared and paid according to the amounts paid up on the Shares, but if and for so long as nothing is paid up on any of the Shares dividends may be declared and paid according to the par value of the Shares. No amount paid on a Share in advance of calls shall, while carrying interest, be treated for the purposes of this Article as paid on the Share.</w:t>
      </w:r>
    </w:p>
    <w:p>
      <w:pPr>
        <w:spacing w:after="0" w:line="179"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several Persons are registered as joint holders of any Share, any of them may give effective receipts for any dividend or other moneys payable on or in respect of the Share.</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 shall bear interest against the Company.</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unclaimed after a period of six calendar years from the date of declaration of such dividend may be forfeited by the Board of Directors and, if so forfeited, shall revert to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ACCOUNTS, AUDIT AND ANNUAL RETURN AND DECLARATION</w:t>
      </w:r>
    </w:p>
    <w:p>
      <w:pPr>
        <w:spacing w:after="0" w:line="229" w:lineRule="exact"/>
        <w:rPr>
          <w:sz w:val="20"/>
          <w:szCs w:val="20"/>
          <w:color w:val="auto"/>
        </w:rPr>
      </w:pPr>
    </w:p>
    <w:p>
      <w:pPr>
        <w:ind w:left="660" w:hanging="652"/>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cause to be kept such books of account as are necessary to give a true and fair view of the state of the Company’s affairs and to show and explain its transactions and otherwise in accordance with the Companies Act.</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of account shall be kept at such place or places as the Directors think fit, and shall always be open to the inspection of the Directors.</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determine whether and to what extent and at what times and places and under what conditions or regulations the accounts and books of the Company or any of them shall be open to the inspection of Shareholders not being Directors, and no Shareholder (not being a Director) shall have any right to inspect any account or book or document of the Company except as conferred by law or authorized by the Directors or by Ordinary Resolution.</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accounts relating to the Company’s affairs shall be audited in such manner and with such financial year end as may be determined from time to time by the Directors or failing any determination as aforesaid shall not be audited.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left="660" w:hanging="652"/>
        <w:spacing w:after="0" w:line="25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at every annual general meeting by Ordinary Resolution appoint an auditor or auditors of the Company who shall hold office until the next annual general meeting. The removal of an auditor before the expiration of his period of office shall require the approval of an Ordinary Resolution. The remuneration of the auditors shall be fixed by the Company at the annual general meeting at which they are appointed by Ordinary Resolution, or in the manner specified in such resolution. If the office of any auditor becomes vacant by the resignation or death of such auditor, or by such auditor becoming incapable of acting by reason of illness or other disability, the Directors may appoint a person to fill the casual vacancy in the office of such Auditor. The auditor so appointed shall hold office until the next annual general meeting of the Company.</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auditors shall, if so required by the Directors, make a report on the accounts of the Company during their tenure of office at the next annual general meeting following their appointment, and at any time during their term of office, upon request of the Directors or any general meeting of the Members.</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in each calendar year shall prepare, or cause to be prepared, an annual return and declaration setting forth the particulars required by the Companies Act and deliver a copy thereof to the Registrar of Companies in the Cayman Islands.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cause to be prepared and to be laid before the Shareholders at every annual general meeting a profit and loss account for the period, in the case of the first account, since the incorporation of the Company and, in any other case, since the preceding account, together with a balance sheet as at the date to which the profit and loss account is made up and a Directors’ report with respect to the profit or loss of the Company for the period covered by the profit and loss account and the state of the Company’s affairs as at the end of such period, an auditors’ report on such accounts prepared pursuant to Article 160 and such other reports and accounts as may be required by law.</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those documents to be laid before the Shareholders at an annual general meeting shall not less than 21 days before the date of the meeting be sent in the manner in which notices may be served by the Company as provided herein to every member and every holder of debentures of the Company, provided that the Company shall not be required to send copies of those documents to any person of whose address the Company is not aware or to more than one of the joint holders of any shares or debentures.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 OF RESERVES</w:t>
      </w:r>
    </w:p>
    <w:p>
      <w:pPr>
        <w:spacing w:after="0" w:line="229" w:lineRule="exact"/>
        <w:rPr>
          <w:sz w:val="20"/>
          <w:szCs w:val="20"/>
          <w:color w:val="auto"/>
        </w:rPr>
      </w:pPr>
    </w:p>
    <w:p>
      <w:pPr>
        <w:ind w:left="660" w:hanging="652"/>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the Directors may:</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to capitalize an amount standing to the credit of reserves (including a Share Premium Account, capital redemption reserve and profit and loss account), which is available for distribution;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ind w:left="1300" w:hanging="644"/>
        <w:spacing w:after="0" w:line="282" w:lineRule="auto"/>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the sum resolved to be capitalized to the Shareholders in proportion to the nominal amount of Shares (whether or not fully paid) held by them respectively and apply that sum on their behalf in or towards: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up the amounts (if any) for the time being unpaid on Shares held by them respectively,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up in full unissued Shares or debentures of a nominal amount equal to that sum,</w:t>
      </w:r>
    </w:p>
    <w:p>
      <w:pPr>
        <w:spacing w:after="0" w:line="225"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and allot the Shares or debentures, credited as fully paid, to the Shareholders (or as they may direct) in those proportions, or partly in one way and partly in the other, but the Share Premium Account, the capital redemption reserve and profits which are not available for distribution may, for the purposes of this Article, only be applied in paying up unissued Shares to be allotted to Shareholders credited as fully paid;</w:t>
      </w:r>
    </w:p>
    <w:p>
      <w:pPr>
        <w:spacing w:after="0" w:line="180" w:lineRule="exact"/>
        <w:rPr>
          <w:sz w:val="20"/>
          <w:szCs w:val="20"/>
          <w:color w:val="auto"/>
        </w:rPr>
      </w:pPr>
    </w:p>
    <w:p>
      <w:pPr>
        <w:ind w:left="1300" w:hanging="644"/>
        <w:spacing w:after="0" w:line="282" w:lineRule="auto"/>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arrangements they think fit to resolve a difficulty arising in the distribution of a capitalized reserve and in particular, without limitation, where Shares or debentures become distributable in fractions the Directors may deal with the fractions as they think fit;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 Person to enter (on behalf of all the Shareholders concerned) into an agreement with the Company providing for either: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allotment to the Shareholders respectively, credited as fully paid, of Shares or debentures to which they may be entitled on the capitalization, or</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by the Company on behalf of the Shareholders (by the application of their respective proportions of the reserves resolved to be capitalized) of the amounts or part of the amounts remaining unpaid on their existing Shares,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 any such agreement made under this authority being effective and binding on all those Shareholders; and</w:t>
      </w:r>
    </w:p>
    <w:p>
      <w:pPr>
        <w:spacing w:after="0" w:line="225" w:lineRule="exact"/>
        <w:rPr>
          <w:sz w:val="20"/>
          <w:szCs w:val="20"/>
          <w:color w:val="auto"/>
        </w:rPr>
      </w:pPr>
    </w:p>
    <w:p>
      <w:pPr>
        <w:ind w:left="1300" w:hanging="644"/>
        <w:spacing w:after="0"/>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do all acts and things required to give effect to the resolution.</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provisions in these Articles and subject to the Companies Act, the Directors may resolve to capitalize an amount standing to the credit of reserves (including the share premium account, capital redemption reserve and profit and loss account) or otherwise available for distribution by applying such sum in paying up in full unissued Shares to be allotted and issued to:</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(including Directors) or service providers of the Company or its Affiliates upon exercise or vesting of any options or awards granted under any share incentive scheme or employee benefit scheme or other arrangement which relates to such persons that has been adopted or approved by the Directors or the Members;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trustee of any trust or administrator of any share incentive scheme or employee benefit scheme to whom shares are to be allotted and issued by the Company in connection with the operation of any share incentive scheme or employee benefit scheme or other arrangement which relates to such persons that has been adopted or approved by the Directors or Members;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left="1300" w:hanging="644"/>
        <w:spacing w:after="0" w:line="261" w:lineRule="auto"/>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depositary of the Company for the purposes of the issue, allotment and delivery by the depositary of ADSs to employees (including Directors) or service providers of the Company or its Affiliates upon exercise or vesting of any options or awards granted under any share incentive scheme or employee benefit scheme or other arrangement which relates to such persons that has been adopted or approved by the Directors or the Members.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PREMIUM ACCOUNT</w:t>
      </w:r>
    </w:p>
    <w:p>
      <w:pPr>
        <w:spacing w:after="0" w:line="229" w:lineRule="exact"/>
        <w:rPr>
          <w:sz w:val="20"/>
          <w:szCs w:val="20"/>
          <w:color w:val="auto"/>
        </w:rPr>
      </w:pPr>
    </w:p>
    <w:p>
      <w:pPr>
        <w:ind w:left="660" w:right="20" w:hanging="652"/>
        <w:spacing w:after="0" w:line="282"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in accordance with the Companies Act establish a Share Premium Account and shall carry to the credit of such account from time to time a sum equal to the amount or value of the premium paid on the issue of any Share.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debited to any Share Premium Account on the redemption or purchase of a Share the difference between the nominal value of such Share and the redemption or purchase price provided always that at the discretion of the Directors such sum may be paid out of the profits of the Company or, if permitted by the Companies Act, out of capital.</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ind w:left="660" w:hanging="652"/>
        <w:spacing w:after="0" w:line="255"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these Articles, any notice or document may be served by the Company or by the Person entitled to give notice to any Shareholder either personally, or by posting it by airmail or a recognized courier service in a prepaid letter addressed to such Shareholder at his address as appearing in the Register, or by electronic mail to any electronic mail address such Shareholder may have specified in writing for the purpose of such service of notices, or by facsimile to any facsimile number such Shareholder may have specified in writing for the purpose of such service of notices, or by placing it on the Company’s Website should the Directors deem it appropriate. In the case of joint holders of a Share, all notices shall be given to that one of the joint holders whose name stands first in the Register in respect of the joint holding, and notice so given shall be sufficient notice to all the joint holders.</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sent from one country to another shall be sent or forwarded by prepaid airmail or a recognized courier service.</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shall be entitled to have notice served on him at any address within Hong Kong.</w:t>
      </w:r>
    </w:p>
    <w:p>
      <w:pPr>
        <w:spacing w:after="0" w:line="22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Present at any meeting of the Company shall for all purposes be deemed to have received due notice of such meeting and, where requisite, of the purposes for which such meeting was convened.</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document, if served by: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shall be deemed to have been served five calendar days after the time when the letter containing the same is posted;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facsimile, shall be deemed to have been served upon production by the transmitting facsimile machine of a report confirming transmission of the facsimile in full to the facsimile number of the recipient;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ind w:left="1300" w:hanging="644"/>
        <w:spacing w:after="0" w:line="282" w:lineRule="auto"/>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recognized courier service, shall be deemed to have been served 48 hours after the time when the letter containing the same is delivered to the courier service;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mail, shall be deemed to have been served immediately (i) upon the time of the transmission to the electronic mail address supplied by the Shareholder to the Company or (ii) upon the time of its placement on the Company’s Website.</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In proving service by post or courier service it shall be sufficient to prove that the letter containing the notice or documents was properly addressed and duly posted or delivered to the courier service.</w:t>
      </w:r>
    </w:p>
    <w:p>
      <w:pPr>
        <w:spacing w:after="0" w:line="162" w:lineRule="exact"/>
        <w:rPr>
          <w:sz w:val="20"/>
          <w:szCs w:val="20"/>
          <w:color w:val="auto"/>
        </w:rPr>
      </w:pPr>
    </w:p>
    <w:p>
      <w:pPr>
        <w:jc w:val="both"/>
        <w:ind w:left="660" w:hanging="652"/>
        <w:spacing w:after="0" w:line="256"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document delivered or sent by post to or left at the registered address of any Shareholder in accordance with the terms of these Articles shall notwithstanding that such Shareholder be then dead or bankrupt, and whether or not the Company has notice of his death or bankruptcy, be deemed to have been duly served in respect of any Share registered in the name of such Shareholder as sole or joint holder, unless his name shall at the time of the service of the notice or document have been removed from the Register as the holder of the Share, and such service shall for all purposes be deemed a sufficient service of such notice or document on all Persons interested (whether jointly with or as claiming through or under him) in the Share.</w:t>
      </w:r>
    </w:p>
    <w:p>
      <w:pPr>
        <w:spacing w:after="0" w:line="18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every general meeting of the Company shall be given to:</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Shareholders holding Shares with the right to receive notice and who have supplied to the Company an address for the giving of notices to them;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Person entitled to a Share in consequence of the death or bankruptcy of a Shareholder, who but for his death or bankruptcy would be entitled to receive notice of the meeting.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other Person shall be entitled to receive notices of general meetings.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w:t>
      </w:r>
    </w:p>
    <w:p>
      <w:pPr>
        <w:spacing w:after="0" w:line="229" w:lineRule="exact"/>
        <w:rPr>
          <w:sz w:val="20"/>
          <w:szCs w:val="20"/>
          <w:color w:val="auto"/>
        </w:rPr>
      </w:pPr>
    </w:p>
    <w:p>
      <w:pPr>
        <w:jc w:val="both"/>
        <w:ind w:left="660" w:hanging="652"/>
        <w:spacing w:after="0" w:line="266"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shall be entitled to require discovery of any information in respect of any detail of the Company’s trading or any information which is or may be in the nature of a trade secret or secret process which may relate to the conduct of the business of the Company and which in the opinion of the Board would not be in the interests of the Members of the Company to communicate to the public.</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be entitled to release or disclose any information in its possession, custody or control regarding the Company or its affairs to any of its Members including, without limitation, information contained in the Register and transfer books of the Company.</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register held in Hong Kong shall during normal business hours (subject to such reasonable restrictions as the Board may impose) be open to inspection by a Shareholder without charge and any other person on payment of a fee of such amount not exceeding the maximum amount as may from time to time be permitted under the Listing Rules as the Board may determine for each inspection, provided that the Company may be permitted to close the register in terms equivalent to section 632 of the Companies Ordinance.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 WITH SHAREHOLDERS AND DISCLOSURE</w:t>
      </w:r>
    </w:p>
    <w:p>
      <w:pPr>
        <w:spacing w:after="0" w:line="229" w:lineRule="exact"/>
        <w:rPr>
          <w:sz w:val="20"/>
          <w:szCs w:val="20"/>
          <w:color w:val="auto"/>
        </w:rPr>
      </w:pPr>
    </w:p>
    <w:p>
      <w:pPr>
        <w:ind w:left="660" w:right="20" w:hanging="652"/>
        <w:spacing w:after="0" w:line="282"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comply with the provisions of Section F “Shareholders Engagement” in Part 2 of Appendix 14 of the Listing Rules regarding communication with Shareholders or Members of the Company.</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include the words “A company controlled through weighted voting rights” or such language as may be specified by The Stock Exchange of Hong Kong Limited from time to time on the front page of all its listing documents, periodic financial reports, circulars, notifications and announcements required by the Listing Rules, and describe its weighted voting rights structure, the rationale of such structure and the associated risks for the members prominently in its listing documents and periodic financial reports. This statement shall inform prospective investors of the potential risks of investing in the Company and that they should make the decision to invest only after due and careful consideration.</w:t>
      </w:r>
    </w:p>
    <w:p>
      <w:pPr>
        <w:spacing w:after="0" w:line="18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 its listing documents and its interim and annual reports: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holders of Class B Ordinary Shares (and, where a holder is a Director Holding Vehicle, the Director holding and controlling such vehicle);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the impact of a potential conversion of Class B Ordinary Shares into Class A Ordinary Shares on its share capital;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all circumstances in which the weighted voting rights attached to the Class B Ordinary Shares shall cease.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INDEMNITY</w:t>
      </w:r>
    </w:p>
    <w:p>
      <w:pPr>
        <w:spacing w:after="0" w:line="229" w:lineRule="exact"/>
        <w:rPr>
          <w:sz w:val="20"/>
          <w:szCs w:val="20"/>
          <w:color w:val="auto"/>
        </w:rPr>
      </w:pPr>
    </w:p>
    <w:p>
      <w:pPr>
        <w:jc w:val="both"/>
        <w:ind w:left="660" w:hanging="652"/>
        <w:spacing w:after="0" w:line="254"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Director (including for the purposes of this Article any alternate Director appointed pursuant to the provisions of these Articles), Secretary, assistant Secretary, or other officer for the time being and from time to time of the Company (but not including the Company’s auditors) and the personal representatives of the same (each an “Indemnified Person”) shall be indemnified and secured harmless against all actions, proceedings, costs, charges, expenses, losses, damages or liabilities incurred or sustained by such Indemnified Person, other than by reason of such Indemnified Person’s own dishonesty, willful default or fraud, in or about the conduct of the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the Company or its affairs in any court whether in the Cayman Islands or elsewhere.</w:t>
      </w:r>
    </w:p>
    <w:p>
      <w:pPr>
        <w:spacing w:after="0" w:line="19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Indemnified Person shall be liable: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acts, receipts, neglects, defaults or omissions of any other Director or officer or agent of the Company;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loss on account of defect of title to any property of the Company;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account of the insufficiency of any security in or upon which any money of the Company shall be invested; 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ind w:left="1300" w:hanging="644"/>
        <w:spacing w:after="0"/>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loss incurred through any bank, broker or other similar Person;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loss occasioned by any negligence, default, breach of duty, breach of trust, error of judgement or oversight on such Indemnified Person’s part;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loss, damage or misfortune whatsoever which may happen in or arise from the execution or discharge of the duties, powers, authorities, or discretions of such Indemnified Person’s office or in relation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the same shall happen through such Indemnified Person’s own dishonesty, willful default or fraud.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YEAR</w:t>
      </w:r>
    </w:p>
    <w:p>
      <w:pPr>
        <w:spacing w:after="0" w:line="229" w:lineRule="exact"/>
        <w:rPr>
          <w:sz w:val="20"/>
          <w:szCs w:val="20"/>
          <w:color w:val="auto"/>
        </w:rPr>
      </w:pPr>
    </w:p>
    <w:p>
      <w:pPr>
        <w:ind w:left="660" w:hanging="652"/>
        <w:spacing w:after="0" w:line="282"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Directors otherwise prescribe, the financial year of the Company shall end on December 31st in each calendar year and shall begin on January 1st in each calendar year.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NON-RECOGNITION OF TRUSTS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be recognized by the Company as holding any Share upon any trust and the Company shall not, unless required by law, be bound by or be compelled in any way to recognize (even when having notice thereof) any equitable, contingent, future or partial interest in any Share or (except only as otherwise provided by these Articles or as the Companies Act requires) any other right in respect of any Share except an absolute right to the entirety thereof in each Shareholder registered in the Register.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WINDING UP</w:t>
      </w:r>
    </w:p>
    <w:p>
      <w:pPr>
        <w:spacing w:after="0" w:line="229" w:lineRule="exact"/>
        <w:rPr>
          <w:sz w:val="20"/>
          <w:szCs w:val="20"/>
          <w:color w:val="auto"/>
        </w:rPr>
      </w:pPr>
    </w:p>
    <w:p>
      <w:pPr>
        <w:ind w:left="660" w:hanging="652"/>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the Company may by Special Resolution resolve that the Company be wound up voluntarily.</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be wound up the liquidator may, with the sanction of a Special Resolution of the Company and any other sanction required by the Companies Act, divide amongst the Members in species or in kind the whole or any part of the assets of the Company (whether they shall consist of property of the same kind or not) and may for that purpose value any assets and determine how the division shall be carried out as between the Members or different classes of Members. The liquidator may, with the like sanction, vest the whole or any part of such assets in trustees upon such trusts for the benefit of the Members as the liquidator, with the like sanction, shall think fit, but so that no Member shall be compelled to accept any asset upon which there is a liability.</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be wound up, and the assets available for distribution amongst the Members shall be insufficient to repay the whole of the share capital, such assets shall be distributed so that, as nearly as may be, the losses shall be borne by the Members in proportion to the par value of the Shares held by them. If in a winding up the assets available for distribution amongst the Members shall be more than sufficient to repay the whole of the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 This Article is without prejudice to the rights of the holders of Shares issued upon special terms and conditions.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AMENDMENT OF ARTICLES OF ASSOCIATION</w:t>
      </w:r>
    </w:p>
    <w:p>
      <w:pPr>
        <w:spacing w:after="0" w:line="229" w:lineRule="exact"/>
        <w:rPr>
          <w:sz w:val="20"/>
          <w:szCs w:val="20"/>
          <w:color w:val="auto"/>
        </w:rPr>
      </w:pPr>
    </w:p>
    <w:p>
      <w:pPr>
        <w:ind w:left="660" w:right="20" w:hanging="652"/>
        <w:spacing w:after="0" w:line="282"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the Company may at any time and from time to time by Special Resolution alter or amend these Articles in whole or in part.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CLOSING OF REGISTER OR FIXING RECORD DATE</w:t>
      </w:r>
    </w:p>
    <w:p>
      <w:pPr>
        <w:spacing w:after="0" w:line="229" w:lineRule="exact"/>
        <w:rPr>
          <w:sz w:val="20"/>
          <w:szCs w:val="20"/>
          <w:color w:val="auto"/>
        </w:rPr>
      </w:pPr>
    </w:p>
    <w:p>
      <w:pPr>
        <w:jc w:val="both"/>
        <w:ind w:left="660" w:hanging="652"/>
        <w:spacing w:after="0" w:line="261"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those Shareholders that are entitled to receive notice of, attend or vote at any meeting of Shareholders or any adjournment thereof, or those Shareholders that are entitled to receive payment of any dividend, or in order to make a determination as to who is a Shareholder for any other purpose, the Directors may provide that the Register shall be closed for transfers for a stated period which shall not exceed in any case thirty calendar days in any calendar year.</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or apart from closing the Register, the Directors may fix in advance a date as the record date for any such determination of those Shareholders that are entitled to receive notice of, attend or vote at a meeting of the Shareholders and for the purpose of determining those Shareholders that are entitled to receive payment of any dividend the Directors may, at or within ninety calendar days prior to the date of declaration of such dividend, fix a subsequent date as the record date for such determination.</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Register is not so closed and no record date is fixed for the determination of those Shareholders entitled to receive notice of, attend or vote at a meeting of Shareholders or those Shareholders that are entitled to receive payment of a dividend, the date on which notice of the meeting is posted or the date on which the resolution of the Directors declaring such dividend is adopted, as the case may be, shall be the record date for such determination of Shareholders. When a determination of those Shareholders that are entitled to receive notice of, attend or vote at a meeting of Shareholders has been made as provided in this Article, such determination shall apply to any adjournment thereof.</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BY WAY OF CONTINUATION</w:t>
      </w:r>
    </w:p>
    <w:p>
      <w:pPr>
        <w:spacing w:after="0" w:line="229" w:lineRule="exact"/>
        <w:rPr>
          <w:sz w:val="20"/>
          <w:szCs w:val="20"/>
          <w:color w:val="auto"/>
        </w:rPr>
      </w:pPr>
    </w:p>
    <w:p>
      <w:pPr>
        <w:jc w:val="both"/>
        <w:ind w:left="660" w:hanging="652"/>
        <w:spacing w:after="0" w:line="258"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Special Resolution resolve to be registered by way of continuation in a jurisdiction outside the Cayman Islands or such other jurisdiction in which it is for the time being incorporated, registered or existing. In furtherance of a resolution adopted pursuant to this Article, the Directors may cause an application to be made to the Registrar of Companies to deregister the Company in the Cayman Islands or such other jurisdiction in which it is for the time being incorporated, registered or existing and may cause all such further steps as they consider appropriate to be taken to effect the transfer by way of continuation of the Company.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DISCLOSURE</w:t>
      </w:r>
    </w:p>
    <w:p>
      <w:pPr>
        <w:spacing w:after="0" w:line="229" w:lineRule="exact"/>
        <w:rPr>
          <w:sz w:val="20"/>
          <w:szCs w:val="20"/>
          <w:color w:val="auto"/>
        </w:rPr>
      </w:pPr>
    </w:p>
    <w:p>
      <w:pPr>
        <w:jc w:val="both"/>
        <w:ind w:left="660" w:hanging="652"/>
        <w:spacing w:after="0" w:line="261"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or any service providers (including the officers, the Secretary and the Registered Office provider of the Company) specifically authorized by the Directors, shall be entitled to disclose to any regulatory or judicial authority or to any stock exchange on which securities of the Company may from time to time be listed any information regarding the affairs of the Company including without limitation information contained in the Register and books of the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FORUM SELECTION</w:t>
      </w:r>
    </w:p>
    <w:p>
      <w:pPr>
        <w:spacing w:after="0" w:line="229" w:lineRule="exact"/>
        <w:rPr>
          <w:sz w:val="20"/>
          <w:szCs w:val="20"/>
          <w:color w:val="auto"/>
        </w:rPr>
      </w:pPr>
    </w:p>
    <w:p>
      <w:pPr>
        <w:jc w:val="both"/>
        <w:ind w:left="652" w:hanging="652"/>
        <w:spacing w:after="0" w:line="258" w:lineRule="auto"/>
        <w:tabs>
          <w:tab w:leader="none" w:pos="65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its shareholders, directors and officers agree to submit to the jurisdiction of the courts of the Cayman Islands and Hong Kong, to the exclusion of other jurisdictions, to hear, settle and/or determine any dispute, controversy or claim whether arising out of or in connection with the Articles or otherwise. For the avoidance of doubt, the applicable rights of purchasers, holders, and sellers of the Company’s ADSs are not governed by the preceding sentence but are exclusively governed by the applicable Deposit Agreement pursuant to which the ADSs were issued, regardless of whether their dispute, controversy or claim arises out of or in connection with the Articles or otherwise.</w:t>
      </w:r>
    </w:p>
    <w:p>
      <w:pPr>
        <w:spacing w:after="0" w:line="39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1859915" cy="3860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5991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 Auto Inc. Announces Results of Annual General Meeting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29, 2026</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BEIJING, China, May 29, 2026 — Li Auto Inc. (“Li Auto” or the “Company”) (Nasdaq: LI; HKEX: 2015), a leader in China’s new energy vehicle market, today announced that each of the proposed resolutions submitted for shareholder approval (the “Proposed Resolutions”) as set forth in the notice of annual general meeting dated April 22, 2026 (the “AGM Notice”) has been adopted at its annual general meeting of shareholders held in Beijing, China today.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After the adoption of the Proposed Resolutions, all corporate authorizations and actions contemplated thereunder are approved, including, among other things, that (i) the Company’s existing memorandum and articles of associations are amended and restated by their deletion in their entirety and by the substitution in their place of the seventh amended and restated memorandum and articles of association as set forth in the circular of the Company dated April 22, 2026, (ii) Mr. Donghui Ma, Mr. Tie Li, and Mr. Hongqiang Zhao are re-elected as directors of the Company, and (iii) the directors of the Company are granted a general mandate to issue, allot, and deal with additional Class A ordinary shares or equivalents and a general mandate to repurchase the Company’s own shares, respectively, on the terms and in the periods as set out in the AGM Notice.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Li Auto Inc.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Li Auto Inc. is a leader in China’s new energy vehicle market. The Company designs, develops, manufactures, and sells premium smart electric vehicles. Its mission is: Be Proactive, Change the World. Through innovations in product, technology, and business model, the Company provides families with safe, convenient, and comfortable products and services. Li Auto is a pioneer in successfully commercializing extended-range electric vehicles in China. While firmly advancing along this technological route, it builds platforms for battery electric vehicles in parallel. The Company leverages technology to create value for users. It concentrates its in-house development efforts on proprietary range extension systems, innovative electric vehicle technologies, and smart vehicle solutions. The Company started volume production in November 2019. Its current model lineup includes a high-tech flagship family MPV, four Li L series extended-range electric SUVs, and two Li i series battery electric SUVs. The Company will continue to expand its product lineup to target a broader user base.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i w:val="1"/>
          <w:iCs w:val="1"/>
          <w:color w:val="auto"/>
        </w:rPr>
        <w:t>https://ir.lixiang.com</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investor and media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 Auto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ir@lixiang.com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Christensen Advisory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Roger Hu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+86-10-5900-1548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Li@christensencomms.com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38437FDB"/>
    <w:multiLevelType w:val="hybridMultilevel"/>
    <w:lvl w:ilvl="0">
      <w:lvlJc w:val="left"/>
      <w:lvlText w:val="%1."/>
      <w:numFmt w:val="decimal"/>
      <w:start w:val="1"/>
    </w:lvl>
  </w:abstractNum>
  <w:abstractNum w:abstractNumId="1">
    <w:nsid w:val="7644A45C"/>
    <w:multiLevelType w:val="hybridMultilevel"/>
    <w:lvl w:ilvl="0">
      <w:lvlJc w:val="left"/>
      <w:lvlText w:val="%1."/>
      <w:numFmt w:val="decimal"/>
      <w:start w:val="1"/>
    </w:lvl>
  </w:abstractNum>
  <w:abstractNum w:abstractNumId="2">
    <w:nsid w:val="32FFF902"/>
    <w:multiLevelType w:val="hybridMultilevel"/>
    <w:lvl w:ilvl="0">
      <w:lvlJc w:val="left"/>
      <w:lvlText w:val="%1."/>
      <w:numFmt w:val="decimal"/>
      <w:start w:val="2"/>
    </w:lvl>
    <w:lvl w:ilvl="1">
      <w:lvlJc w:val="left"/>
      <w:lvlText w:val="(%2)"/>
      <w:numFmt w:val="lowerLetter"/>
      <w:start w:val="1"/>
    </w:lvl>
  </w:abstractNum>
  <w:abstractNum w:abstractNumId="3">
    <w:nsid w:val="684A481A"/>
    <w:multiLevelType w:val="hybridMultilevel"/>
    <w:lvl w:ilvl="0">
      <w:lvlJc w:val="left"/>
      <w:lvlText w:val="%1"/>
      <w:numFmt w:val="decimal"/>
      <w:start w:val="1"/>
    </w:lvl>
    <w:lvl w:ilvl="1">
      <w:lvlJc w:val="left"/>
      <w:lvlText w:val="(%2)"/>
      <w:numFmt w:val="lowerLetter"/>
      <w:start w:val="7"/>
    </w:lvl>
  </w:abstractNum>
  <w:abstractNum w:abstractNumId="4">
    <w:nsid w:val="579478FE"/>
    <w:multiLevelType w:val="hybridMultilevel"/>
    <w:lvl w:ilvl="0">
      <w:lvlJc w:val="left"/>
      <w:lvlText w:val="%1."/>
      <w:numFmt w:val="decimal"/>
      <w:start w:val="3"/>
    </w:lvl>
    <w:lvl w:ilvl="1">
      <w:lvlJc w:val="left"/>
      <w:lvlText w:val="%2"/>
      <w:numFmt w:val="lowerLetter"/>
      <w:start w:val="1"/>
    </w:lvl>
  </w:abstractNum>
  <w:abstractNum w:abstractNumId="5">
    <w:nsid w:val="749ABB43"/>
    <w:multiLevelType w:val="hybridMultilevel"/>
    <w:lvl w:ilvl="0">
      <w:lvlJc w:val="left"/>
      <w:lvlText w:val="%1."/>
      <w:numFmt w:val="decimal"/>
      <w:start w:val="4"/>
    </w:lvl>
  </w:abstractNum>
  <w:abstractNum w:abstractNumId="6">
    <w:nsid w:val="3DC240FB"/>
    <w:multiLevelType w:val="hybridMultilevel"/>
    <w:lvl w:ilvl="0">
      <w:lvlJc w:val="left"/>
      <w:lvlText w:val="%1."/>
      <w:numFmt w:val="decimal"/>
      <w:start w:val="8"/>
    </w:lvl>
    <w:lvl w:ilvl="1">
      <w:lvlJc w:val="left"/>
      <w:lvlText w:val="(%2)"/>
      <w:numFmt w:val="lowerLetter"/>
      <w:start w:val="1"/>
    </w:lvl>
  </w:abstractNum>
  <w:abstractNum w:abstractNumId="7">
    <w:nsid w:val="1BA026FA"/>
    <w:multiLevelType w:val="hybridMultilevel"/>
    <w:lvl w:ilvl="0">
      <w:lvlJc w:val="left"/>
      <w:lvlText w:val="%1"/>
      <w:numFmt w:val="decimal"/>
      <w:start w:val="1"/>
    </w:lvl>
    <w:lvl w:ilvl="1">
      <w:lvlJc w:val="left"/>
      <w:lvlText w:val="(%2)"/>
      <w:numFmt w:val="lowerLetter"/>
      <w:start w:val="2"/>
    </w:lvl>
  </w:abstractNum>
  <w:abstractNum w:abstractNumId="8">
    <w:nsid w:val="79A1DEAA"/>
    <w:multiLevelType w:val="hybridMultilevel"/>
    <w:lvl w:ilvl="0">
      <w:lvlJc w:val="left"/>
      <w:lvlText w:val="%1."/>
      <w:numFmt w:val="decimal"/>
      <w:start w:val="9"/>
    </w:lvl>
    <w:lvl w:ilvl="1">
      <w:lvlJc w:val="left"/>
      <w:lvlText w:val="(%2)"/>
      <w:numFmt w:val="lowerLetter"/>
      <w:start w:val="1"/>
    </w:lvl>
  </w:abstractNum>
  <w:abstractNum w:abstractNumId="9">
    <w:nsid w:val="75C6C33A"/>
    <w:multiLevelType w:val="hybridMultilevel"/>
    <w:lvl w:ilvl="0">
      <w:lvlJc w:val="left"/>
      <w:lvlText w:val="(%1)"/>
      <w:numFmt w:val="lowerLetter"/>
      <w:start w:val="7"/>
    </w:lvl>
  </w:abstractNum>
  <w:abstractNum w:abstractNumId="10">
    <w:nsid w:val="12E685FB"/>
    <w:multiLevelType w:val="hybridMultilevel"/>
    <w:lvl w:ilvl="0">
      <w:lvlJc w:val="left"/>
      <w:lvlText w:val="%1."/>
      <w:numFmt w:val="decimal"/>
      <w:start w:val="10"/>
    </w:lvl>
  </w:abstractNum>
  <w:abstractNum w:abstractNumId="11">
    <w:nsid w:val="70C6A529"/>
    <w:multiLevelType w:val="hybridMultilevel"/>
    <w:lvl w:ilvl="0">
      <w:lvlJc w:val="left"/>
      <w:lvlText w:val="%1."/>
      <w:numFmt w:val="decimal"/>
      <w:start w:val="15"/>
    </w:lvl>
    <w:lvl w:ilvl="1">
      <w:lvlJc w:val="left"/>
      <w:lvlText w:val="(%2)"/>
      <w:numFmt w:val="lowerLetter"/>
      <w:start w:val="1"/>
    </w:lvl>
  </w:abstractNum>
  <w:abstractNum w:abstractNumId="12">
    <w:nsid w:val="520EEDD1"/>
    <w:multiLevelType w:val="hybridMultilevel"/>
    <w:lvl w:ilvl="0">
      <w:lvlJc w:val="left"/>
      <w:lvlText w:val="%1."/>
      <w:numFmt w:val="decimal"/>
      <w:start w:val="17"/>
    </w:lvl>
    <w:lvl w:ilvl="1">
      <w:lvlJc w:val="left"/>
      <w:lvlText w:val="(%2)"/>
      <w:numFmt w:val="lowerLetter"/>
      <w:start w:val="1"/>
    </w:lvl>
  </w:abstractNum>
  <w:abstractNum w:abstractNumId="13">
    <w:nsid w:val="374A3FE6"/>
    <w:multiLevelType w:val="hybridMultilevel"/>
    <w:lvl w:ilvl="0">
      <w:lvlJc w:val="left"/>
      <w:lvlText w:val="%1."/>
      <w:numFmt w:val="decimal"/>
      <w:start w:val="23"/>
    </w:lvl>
  </w:abstractNum>
  <w:abstractNum w:abstractNumId="14">
    <w:nsid w:val="4F4EF005"/>
    <w:multiLevelType w:val="hybridMultilevel"/>
    <w:lvl w:ilvl="0">
      <w:lvlJc w:val="left"/>
      <w:lvlText w:val="%1."/>
      <w:numFmt w:val="decimal"/>
      <w:start w:val="25"/>
    </w:lvl>
  </w:abstractNum>
  <w:abstractNum w:abstractNumId="15">
    <w:nsid w:val="23F9C13C"/>
    <w:multiLevelType w:val="hybridMultilevel"/>
    <w:lvl w:ilvl="0">
      <w:lvlJc w:val="left"/>
      <w:lvlText w:val="%1."/>
      <w:numFmt w:val="decimal"/>
      <w:start w:val="27"/>
    </w:lvl>
  </w:abstractNum>
  <w:abstractNum w:abstractNumId="16">
    <w:nsid w:val="649BB77C"/>
    <w:multiLevelType w:val="hybridMultilevel"/>
    <w:lvl w:ilvl="0">
      <w:lvlJc w:val="left"/>
      <w:lvlText w:val="%1."/>
      <w:numFmt w:val="decimal"/>
      <w:start w:val="29"/>
    </w:lvl>
  </w:abstractNum>
  <w:abstractNum w:abstractNumId="17">
    <w:nsid w:val="275AC794"/>
    <w:multiLevelType w:val="hybridMultilevel"/>
    <w:lvl w:ilvl="0">
      <w:lvlJc w:val="left"/>
      <w:lvlText w:val="%1."/>
      <w:numFmt w:val="decimal"/>
      <w:start w:val="32"/>
    </w:lvl>
  </w:abstractNum>
  <w:abstractNum w:abstractNumId="18">
    <w:nsid w:val="39386575"/>
    <w:multiLevelType w:val="hybridMultilevel"/>
    <w:lvl w:ilvl="0">
      <w:lvlJc w:val="left"/>
      <w:lvlText w:val="%1."/>
      <w:numFmt w:val="decimal"/>
      <w:start w:val="33"/>
    </w:lvl>
  </w:abstractNum>
  <w:abstractNum w:abstractNumId="19">
    <w:nsid w:val="1CF10FD8"/>
    <w:multiLevelType w:val="hybridMultilevel"/>
    <w:lvl w:ilvl="0">
      <w:lvlJc w:val="left"/>
      <w:lvlText w:val="%1."/>
      <w:numFmt w:val="decimal"/>
      <w:start w:val="35"/>
    </w:lvl>
  </w:abstractNum>
  <w:abstractNum w:abstractNumId="20">
    <w:nsid w:val="180115BE"/>
    <w:multiLevelType w:val="hybridMultilevel"/>
    <w:lvl w:ilvl="0">
      <w:lvlJc w:val="left"/>
      <w:lvlText w:val="%1."/>
      <w:numFmt w:val="decimal"/>
      <w:start w:val="37"/>
    </w:lvl>
  </w:abstractNum>
  <w:abstractNum w:abstractNumId="21">
    <w:nsid w:val="235BA861"/>
    <w:multiLevelType w:val="hybridMultilevel"/>
    <w:lvl w:ilvl="0">
      <w:lvlJc w:val="left"/>
      <w:lvlText w:val="%1."/>
      <w:numFmt w:val="decimal"/>
      <w:start w:val="43"/>
    </w:lvl>
  </w:abstractNum>
  <w:abstractNum w:abstractNumId="22">
    <w:nsid w:val="47398C89"/>
    <w:multiLevelType w:val="hybridMultilevel"/>
    <w:lvl w:ilvl="0">
      <w:lvlJc w:val="left"/>
      <w:lvlText w:val="%1."/>
      <w:numFmt w:val="decimal"/>
      <w:start w:val="51"/>
    </w:lvl>
    <w:lvl w:ilvl="1">
      <w:lvlJc w:val="left"/>
      <w:lvlText w:val="(%2)"/>
      <w:numFmt w:val="lowerLetter"/>
      <w:start w:val="2"/>
    </w:lvl>
    <w:lvl w:ilvl="2">
      <w:lvlJc w:val="left"/>
      <w:lvlText w:val="(%3)"/>
      <w:numFmt w:val="lowerRoman"/>
      <w:start w:val="1"/>
    </w:lvl>
  </w:abstractNum>
  <w:abstractNum w:abstractNumId="23">
    <w:nsid w:val="354FE9F9"/>
    <w:multiLevelType w:val="hybridMultilevel"/>
    <w:lvl w:ilvl="0">
      <w:lvlJc w:val="left"/>
      <w:lvlText w:val="%1."/>
      <w:numFmt w:val="decimal"/>
      <w:start w:val="54"/>
    </w:lvl>
  </w:abstractNum>
  <w:abstractNum w:abstractNumId="24">
    <w:nsid w:val="15B5AF5C"/>
    <w:multiLevelType w:val="hybridMultilevel"/>
    <w:lvl w:ilvl="0">
      <w:lvlJc w:val="left"/>
      <w:lvlText w:val="%1."/>
      <w:numFmt w:val="decimal"/>
      <w:start w:val="55"/>
    </w:lvl>
  </w:abstractNum>
  <w:abstractNum w:abstractNumId="25">
    <w:nsid w:val="741226BB"/>
    <w:multiLevelType w:val="hybridMultilevel"/>
    <w:lvl w:ilvl="0">
      <w:lvlJc w:val="left"/>
      <w:lvlText w:val="%1."/>
      <w:numFmt w:val="decimal"/>
      <w:start w:val="58"/>
    </w:lvl>
  </w:abstractNum>
  <w:abstractNum w:abstractNumId="26">
    <w:nsid w:val="D34B6A8"/>
    <w:multiLevelType w:val="hybridMultilevel"/>
    <w:lvl w:ilvl="0">
      <w:lvlJc w:val="left"/>
      <w:lvlText w:val="%1."/>
      <w:numFmt w:val="decimal"/>
      <w:start w:val="59"/>
    </w:lvl>
    <w:lvl w:ilvl="1">
      <w:lvlJc w:val="left"/>
      <w:lvlText w:val="(%2)"/>
      <w:numFmt w:val="lowerLetter"/>
      <w:start w:val="1"/>
    </w:lvl>
  </w:abstractNum>
  <w:abstractNum w:abstractNumId="27">
    <w:nsid w:val="10233C99"/>
    <w:multiLevelType w:val="hybridMultilevel"/>
    <w:lvl w:ilvl="0">
      <w:lvlJc w:val="left"/>
      <w:lvlText w:val="%1"/>
      <w:numFmt w:val="decimal"/>
      <w:start w:val="1"/>
    </w:lvl>
    <w:lvl w:ilvl="1">
      <w:lvlJc w:val="left"/>
      <w:lvlText w:val="(%2)"/>
      <w:numFmt w:val="lowerLetter"/>
      <w:start w:val="3"/>
    </w:lvl>
  </w:abstractNum>
  <w:abstractNum w:abstractNumId="28">
    <w:nsid w:val="3F6AB60F"/>
    <w:multiLevelType w:val="hybridMultilevel"/>
    <w:lvl w:ilvl="0">
      <w:lvlJc w:val="left"/>
      <w:lvlText w:val="%1."/>
      <w:numFmt w:val="decimal"/>
      <w:start w:val="61"/>
    </w:lvl>
    <w:lvl w:ilvl="1">
      <w:lvlJc w:val="left"/>
      <w:lvlText w:val="%2"/>
      <w:numFmt w:val="lowerLetter"/>
      <w:start w:val="1"/>
    </w:lvl>
  </w:abstractNum>
  <w:abstractNum w:abstractNumId="29">
    <w:nsid w:val="61574095"/>
    <w:multiLevelType w:val="hybridMultilevel"/>
    <w:lvl w:ilvl="0">
      <w:lvlJc w:val="left"/>
      <w:lvlText w:val="%1."/>
      <w:numFmt w:val="decimal"/>
      <w:start w:val="62"/>
    </w:lvl>
    <w:lvl w:ilvl="1">
      <w:lvlJc w:val="left"/>
      <w:lvlText w:val="(%2)"/>
      <w:numFmt w:val="lowerLetter"/>
      <w:start w:val="1"/>
    </w:lvl>
  </w:abstractNum>
  <w:abstractNum w:abstractNumId="30">
    <w:nsid w:val="7E0C57B1"/>
    <w:multiLevelType w:val="hybridMultilevel"/>
    <w:lvl w:ilvl="0">
      <w:lvlJc w:val="left"/>
      <w:lvlText w:val="%1."/>
      <w:numFmt w:val="decimal"/>
      <w:start w:val="66"/>
    </w:lvl>
  </w:abstractNum>
  <w:abstractNum w:abstractNumId="31">
    <w:nsid w:val="77AE35EB"/>
    <w:multiLevelType w:val="hybridMultilevel"/>
    <w:lvl w:ilvl="0">
      <w:lvlJc w:val="left"/>
      <w:lvlText w:val="%1."/>
      <w:numFmt w:val="decimal"/>
      <w:start w:val="67"/>
    </w:lvl>
    <w:lvl w:ilvl="1">
      <w:lvlJc w:val="left"/>
      <w:lvlText w:val="(%2)"/>
      <w:numFmt w:val="lowerLetter"/>
      <w:start w:val="2"/>
    </w:lvl>
  </w:abstractNum>
  <w:abstractNum w:abstractNumId="32">
    <w:nsid w:val="579BE4F1"/>
    <w:multiLevelType w:val="hybridMultilevel"/>
    <w:lvl w:ilvl="0">
      <w:lvlJc w:val="left"/>
      <w:lvlText w:val="%1."/>
      <w:numFmt w:val="decimal"/>
      <w:start w:val="69"/>
    </w:lvl>
    <w:lvl w:ilvl="1">
      <w:lvlJc w:val="left"/>
      <w:lvlText w:val="(%2)"/>
      <w:numFmt w:val="lowerLetter"/>
      <w:start w:val="1"/>
    </w:lvl>
  </w:abstractNum>
  <w:abstractNum w:abstractNumId="33">
    <w:nsid w:val="310C50B3"/>
    <w:multiLevelType w:val="hybridMultilevel"/>
    <w:lvl w:ilvl="0">
      <w:lvlJc w:val="left"/>
      <w:lvlText w:val="%1."/>
      <w:numFmt w:val="decimal"/>
      <w:start w:val="71"/>
    </w:lvl>
  </w:abstractNum>
  <w:abstractNum w:abstractNumId="34">
    <w:nsid w:val="5FF87E05"/>
    <w:multiLevelType w:val="hybridMultilevel"/>
    <w:lvl w:ilvl="0">
      <w:lvlJc w:val="left"/>
      <w:lvlText w:val="%1."/>
      <w:numFmt w:val="decimal"/>
      <w:start w:val="74"/>
    </w:lvl>
    <w:lvl w:ilvl="1">
      <w:lvlJc w:val="left"/>
      <w:lvlText w:val="(%2)"/>
      <w:numFmt w:val="lowerLetter"/>
      <w:start w:val="1"/>
    </w:lvl>
  </w:abstractNum>
  <w:abstractNum w:abstractNumId="35">
    <w:nsid w:val="2F305DEF"/>
    <w:multiLevelType w:val="hybridMultilevel"/>
    <w:lvl w:ilvl="0">
      <w:lvlJc w:val="left"/>
      <w:lvlText w:val="%1."/>
      <w:numFmt w:val="decimal"/>
      <w:start w:val="81"/>
    </w:lvl>
  </w:abstractNum>
  <w:abstractNum w:abstractNumId="36">
    <w:nsid w:val="25A70BF7"/>
    <w:multiLevelType w:val="hybridMultilevel"/>
    <w:lvl w:ilvl="0">
      <w:lvlJc w:val="left"/>
      <w:lvlText w:val="%1."/>
      <w:numFmt w:val="decimal"/>
      <w:start w:val="83"/>
    </w:lvl>
  </w:abstractNum>
  <w:abstractNum w:abstractNumId="37">
    <w:nsid w:val="1DBABF00"/>
    <w:multiLevelType w:val="hybridMultilevel"/>
    <w:lvl w:ilvl="0">
      <w:lvlJc w:val="left"/>
      <w:lvlText w:val="(%1)"/>
      <w:numFmt w:val="lowerLetter"/>
      <w:start w:val="1"/>
    </w:lvl>
  </w:abstractNum>
  <w:abstractNum w:abstractNumId="38">
    <w:nsid w:val="4AD084E9"/>
    <w:multiLevelType w:val="hybridMultilevel"/>
    <w:lvl w:ilvl="0">
      <w:lvlJc w:val="left"/>
      <w:lvlText w:val="%1."/>
      <w:numFmt w:val="decimal"/>
      <w:start w:val="85"/>
    </w:lvl>
  </w:abstractNum>
  <w:abstractNum w:abstractNumId="39">
    <w:nsid w:val="1F48EAA1"/>
    <w:multiLevelType w:val="hybridMultilevel"/>
    <w:lvl w:ilvl="0">
      <w:lvlJc w:val="left"/>
      <w:lvlText w:val="%1."/>
      <w:numFmt w:val="decimal"/>
      <w:start w:val="87"/>
    </w:lvl>
    <w:lvl w:ilvl="1">
      <w:lvlJc w:val="left"/>
      <w:lvlText w:val="(%2)"/>
      <w:numFmt w:val="lowerLetter"/>
      <w:start w:val="1"/>
    </w:lvl>
  </w:abstractNum>
  <w:abstractNum w:abstractNumId="40">
    <w:nsid w:val="1381823A"/>
    <w:multiLevelType w:val="hybridMultilevel"/>
    <w:lvl w:ilvl="0">
      <w:lvlJc w:val="left"/>
      <w:lvlText w:val="%1."/>
      <w:numFmt w:val="decimal"/>
      <w:start w:val="92"/>
    </w:lvl>
  </w:abstractNum>
  <w:abstractNum w:abstractNumId="41">
    <w:nsid w:val="5DB70AE5"/>
    <w:multiLevelType w:val="hybridMultilevel"/>
    <w:lvl w:ilvl="0">
      <w:lvlJc w:val="left"/>
      <w:lvlText w:val="%1."/>
      <w:numFmt w:val="decimal"/>
      <w:start w:val="93"/>
    </w:lvl>
  </w:abstractNum>
  <w:abstractNum w:abstractNumId="42">
    <w:nsid w:val="100F8FCA"/>
    <w:multiLevelType w:val="hybridMultilevel"/>
    <w:lvl w:ilvl="0">
      <w:lvlJc w:val="left"/>
      <w:lvlText w:val="%1."/>
      <w:numFmt w:val="decimal"/>
      <w:start w:val="94"/>
    </w:lvl>
  </w:abstractNum>
  <w:abstractNum w:abstractNumId="43">
    <w:nsid w:val="6590700B"/>
    <w:multiLevelType w:val="hybridMultilevel"/>
    <w:lvl w:ilvl="0">
      <w:lvlJc w:val="left"/>
      <w:lvlText w:val="%1."/>
      <w:numFmt w:val="decimal"/>
      <w:start w:val="95"/>
    </w:lvl>
  </w:abstractNum>
  <w:abstractNum w:abstractNumId="44">
    <w:nsid w:val="15014ACB"/>
    <w:multiLevelType w:val="hybridMultilevel"/>
    <w:lvl w:ilvl="0">
      <w:lvlJc w:val="left"/>
      <w:lvlText w:val="%1."/>
      <w:numFmt w:val="decimal"/>
      <w:start w:val="96"/>
    </w:lvl>
    <w:lvl w:ilvl="1">
      <w:lvlJc w:val="left"/>
      <w:lvlText w:val="(%2)"/>
      <w:numFmt w:val="lowerLetter"/>
      <w:start w:val="2"/>
    </w:lvl>
  </w:abstractNum>
  <w:abstractNum w:abstractNumId="45">
    <w:nsid w:val="5F5E7FD0"/>
    <w:multiLevelType w:val="hybridMultilevel"/>
    <w:lvl w:ilvl="0">
      <w:lvlJc w:val="left"/>
      <w:lvlText w:val="(%1)"/>
      <w:numFmt w:val="lowerLetter"/>
      <w:start w:val="4"/>
    </w:lvl>
  </w:abstractNum>
  <w:abstractNum w:abstractNumId="46">
    <w:nsid w:val="98A3148"/>
    <w:multiLevelType w:val="hybridMultilevel"/>
    <w:lvl w:ilvl="0">
      <w:lvlJc w:val="left"/>
      <w:lvlText w:val="%1."/>
      <w:numFmt w:val="decimal"/>
      <w:start w:val="97"/>
    </w:lvl>
  </w:abstractNum>
  <w:abstractNum w:abstractNumId="47">
    <w:nsid w:val="799D0247"/>
    <w:multiLevelType w:val="hybridMultilevel"/>
    <w:lvl w:ilvl="0">
      <w:lvlJc w:val="left"/>
      <w:lvlText w:val="%1."/>
      <w:numFmt w:val="decimal"/>
      <w:start w:val="102"/>
    </w:lvl>
    <w:lvl w:ilvl="1">
      <w:lvlJc w:val="left"/>
      <w:lvlText w:val="(%2)"/>
      <w:numFmt w:val="lowerLetter"/>
      <w:start w:val="1"/>
    </w:lvl>
  </w:abstractNum>
  <w:abstractNum w:abstractNumId="48">
    <w:nsid w:val="6B94764"/>
    <w:multiLevelType w:val="hybridMultilevel"/>
    <w:lvl w:ilvl="0">
      <w:lvlJc w:val="left"/>
      <w:lvlText w:val="%1."/>
      <w:numFmt w:val="decimal"/>
      <w:start w:val="103"/>
    </w:lvl>
  </w:abstractNum>
  <w:abstractNum w:abstractNumId="49">
    <w:nsid w:val="42C296BD"/>
    <w:multiLevelType w:val="hybridMultilevel"/>
    <w:lvl w:ilvl="0">
      <w:lvlJc w:val="left"/>
      <w:lvlText w:val="%1."/>
      <w:numFmt w:val="decimal"/>
      <w:start w:val="105"/>
    </w:lvl>
  </w:abstractNum>
  <w:abstractNum w:abstractNumId="50">
    <w:nsid w:val="168E121F"/>
    <w:multiLevelType w:val="hybridMultilevel"/>
    <w:lvl w:ilvl="0">
      <w:lvlJc w:val="left"/>
      <w:lvlText w:val="%1."/>
      <w:numFmt w:val="decimal"/>
      <w:start w:val="107"/>
    </w:lvl>
  </w:abstractNum>
  <w:abstractNum w:abstractNumId="51">
    <w:nsid w:val="1EBA5D23"/>
    <w:multiLevelType w:val="hybridMultilevel"/>
    <w:lvl w:ilvl="0">
      <w:lvlJc w:val="left"/>
      <w:lvlText w:val="%1."/>
      <w:numFmt w:val="decimal"/>
      <w:start w:val="109"/>
    </w:lvl>
  </w:abstractNum>
  <w:abstractNum w:abstractNumId="52">
    <w:nsid w:val="661E3F1E"/>
    <w:multiLevelType w:val="hybridMultilevel"/>
    <w:lvl w:ilvl="0">
      <w:lvlJc w:val="left"/>
      <w:lvlText w:val="(%1)"/>
      <w:numFmt w:val="lowerLetter"/>
      <w:start w:val="1"/>
    </w:lvl>
  </w:abstractNum>
  <w:abstractNum w:abstractNumId="53">
    <w:nsid w:val="5DC79EA8"/>
    <w:multiLevelType w:val="hybridMultilevel"/>
    <w:lvl w:ilvl="0">
      <w:lvlJc w:val="left"/>
      <w:lvlText w:val="%1."/>
      <w:numFmt w:val="decimal"/>
      <w:start w:val="116"/>
    </w:lvl>
    <w:lvl w:ilvl="1">
      <w:lvlJc w:val="left"/>
      <w:lvlText w:val="(%2)"/>
      <w:numFmt w:val="lowerLetter"/>
      <w:start w:val="1"/>
    </w:lvl>
  </w:abstractNum>
  <w:abstractNum w:abstractNumId="54">
    <w:nsid w:val="540A471C"/>
    <w:multiLevelType w:val="hybridMultilevel"/>
    <w:lvl w:ilvl="0">
      <w:lvlJc w:val="left"/>
      <w:lvlText w:val="%1."/>
      <w:numFmt w:val="decimal"/>
      <w:start w:val="120"/>
    </w:lvl>
    <w:lvl w:ilvl="1">
      <w:lvlJc w:val="left"/>
      <w:lvlText w:val="(%2)"/>
      <w:numFmt w:val="lowerLetter"/>
      <w:start w:val="1"/>
    </w:lvl>
  </w:abstractNum>
  <w:abstractNum w:abstractNumId="55">
    <w:nsid w:val="7BD3EE7B"/>
    <w:multiLevelType w:val="hybridMultilevel"/>
    <w:lvl w:ilvl="0">
      <w:lvlJc w:val="left"/>
      <w:lvlText w:val="%1."/>
      <w:numFmt w:val="decimal"/>
      <w:start w:val="121"/>
    </w:lvl>
    <w:lvl w:ilvl="1">
      <w:lvlJc w:val="left"/>
      <w:lvlText w:val="(%2)"/>
      <w:numFmt w:val="lowerLetter"/>
      <w:start w:val="1"/>
    </w:lvl>
  </w:abstractNum>
  <w:abstractNum w:abstractNumId="56">
    <w:nsid w:val="51D9C564"/>
    <w:multiLevelType w:val="hybridMultilevel"/>
    <w:lvl w:ilvl="0">
      <w:lvlJc w:val="left"/>
      <w:lvlText w:val="%1"/>
      <w:numFmt w:val="decimal"/>
      <w:start w:val="1"/>
    </w:lvl>
    <w:lvl w:ilvl="1">
      <w:lvlJc w:val="left"/>
      <w:lvlText w:val="(%2)"/>
      <w:numFmt w:val="lowerLetter"/>
      <w:start w:val="9"/>
    </w:lvl>
  </w:abstractNum>
  <w:abstractNum w:abstractNumId="57">
    <w:nsid w:val="613EFDC5"/>
    <w:multiLevelType w:val="hybridMultilevel"/>
    <w:lvl w:ilvl="0">
      <w:lvlJc w:val="left"/>
      <w:lvlText w:val="%1."/>
      <w:numFmt w:val="decimal"/>
      <w:start w:val="122"/>
    </w:lvl>
    <w:lvl w:ilvl="1">
      <w:lvlJc w:val="left"/>
      <w:lvlText w:val="%2"/>
      <w:numFmt w:val="lowerLetter"/>
      <w:start w:val="1"/>
    </w:lvl>
  </w:abstractNum>
  <w:abstractNum w:abstractNumId="58">
    <w:nsid w:val="BF72B14"/>
    <w:multiLevelType w:val="hybridMultilevel"/>
    <w:lvl w:ilvl="0">
      <w:lvlJc w:val="left"/>
      <w:lvlText w:val="%1."/>
      <w:numFmt w:val="decimal"/>
      <w:start w:val="124"/>
    </w:lvl>
    <w:lvl w:ilvl="1">
      <w:lvlJc w:val="left"/>
      <w:lvlText w:val="(%2)"/>
      <w:numFmt w:val="lowerLetter"/>
      <w:start w:val="1"/>
    </w:lvl>
  </w:abstractNum>
  <w:abstractNum w:abstractNumId="59">
    <w:nsid w:val="11447B73"/>
    <w:multiLevelType w:val="hybridMultilevel"/>
    <w:lvl w:ilvl="0">
      <w:lvlJc w:val="left"/>
      <w:lvlText w:val="%1"/>
      <w:numFmt w:val="decimal"/>
      <w:start w:val="1"/>
    </w:lvl>
    <w:lvl w:ilvl="1">
      <w:lvlJc w:val="left"/>
      <w:lvlText w:val="(%2)"/>
      <w:numFmt w:val="lowerLetter"/>
      <w:start w:val="4"/>
    </w:lvl>
  </w:abstractNum>
  <w:abstractNum w:abstractNumId="60">
    <w:nsid w:val="42963E5A"/>
    <w:multiLevelType w:val="hybridMultilevel"/>
    <w:lvl w:ilvl="0">
      <w:lvlJc w:val="left"/>
      <w:lvlText w:val="%1."/>
      <w:numFmt w:val="decimal"/>
      <w:start w:val="125"/>
    </w:lvl>
    <w:lvl w:ilvl="1">
      <w:lvlJc w:val="left"/>
      <w:lvlText w:val="(%2)"/>
      <w:numFmt w:val="lowerLetter"/>
      <w:start w:val="1"/>
    </w:lvl>
  </w:abstractNum>
  <w:abstractNum w:abstractNumId="61">
    <w:nsid w:val="A0382C5"/>
    <w:multiLevelType w:val="hybridMultilevel"/>
    <w:lvl w:ilvl="0">
      <w:lvlJc w:val="left"/>
      <w:lvlText w:val="%1."/>
      <w:numFmt w:val="decimal"/>
      <w:start w:val="126"/>
    </w:lvl>
  </w:abstractNum>
  <w:abstractNum w:abstractNumId="62">
    <w:nsid w:val="8F2B15E"/>
    <w:multiLevelType w:val="hybridMultilevel"/>
    <w:lvl w:ilvl="0">
      <w:lvlJc w:val="left"/>
      <w:lvlText w:val="%1."/>
      <w:numFmt w:val="decimal"/>
      <w:start w:val="127"/>
    </w:lvl>
  </w:abstractNum>
  <w:abstractNum w:abstractNumId="63">
    <w:nsid w:val="1A32234B"/>
    <w:multiLevelType w:val="hybridMultilevel"/>
    <w:lvl w:ilvl="0">
      <w:lvlJc w:val="left"/>
      <w:lvlText w:val="%1."/>
      <w:numFmt w:val="decimal"/>
      <w:start w:val="130"/>
    </w:lvl>
    <w:lvl w:ilvl="1">
      <w:lvlJc w:val="left"/>
      <w:lvlText w:val="(%2)"/>
      <w:numFmt w:val="lowerLetter"/>
      <w:start w:val="1"/>
    </w:lvl>
  </w:abstractNum>
  <w:abstractNum w:abstractNumId="64">
    <w:nsid w:val="3B0FD379"/>
    <w:multiLevelType w:val="hybridMultilevel"/>
    <w:lvl w:ilvl="0">
      <w:lvlJc w:val="left"/>
      <w:lvlText w:val="%1."/>
      <w:numFmt w:val="decimal"/>
      <w:start w:val="131"/>
    </w:lvl>
  </w:abstractNum>
  <w:abstractNum w:abstractNumId="65">
    <w:nsid w:val="68EB2F63"/>
    <w:multiLevelType w:val="hybridMultilevel"/>
    <w:lvl w:ilvl="0">
      <w:lvlJc w:val="left"/>
      <w:lvlText w:val="%1."/>
      <w:numFmt w:val="decimal"/>
      <w:start w:val="135"/>
    </w:lvl>
    <w:lvl w:ilvl="1">
      <w:lvlJc w:val="left"/>
      <w:lvlText w:val="(%2)"/>
      <w:numFmt w:val="lowerLetter"/>
      <w:start w:val="1"/>
    </w:lvl>
  </w:abstractNum>
  <w:abstractNum w:abstractNumId="66">
    <w:nsid w:val="4962813B"/>
    <w:multiLevelType w:val="hybridMultilevel"/>
    <w:lvl w:ilvl="0">
      <w:lvlJc w:val="left"/>
      <w:lvlText w:val="%1."/>
      <w:numFmt w:val="decimal"/>
      <w:start w:val="140"/>
    </w:lvl>
  </w:abstractNum>
  <w:abstractNum w:abstractNumId="67">
    <w:nsid w:val="60B6DF70"/>
    <w:multiLevelType w:val="hybridMultilevel"/>
    <w:lvl w:ilvl="0">
      <w:lvlJc w:val="left"/>
      <w:lvlText w:val="%1."/>
      <w:numFmt w:val="decimal"/>
      <w:start w:val="144"/>
    </w:lvl>
  </w:abstractNum>
  <w:abstractNum w:abstractNumId="68">
    <w:nsid w:val="6A5EE64"/>
    <w:multiLevelType w:val="hybridMultilevel"/>
    <w:lvl w:ilvl="0">
      <w:lvlJc w:val="left"/>
      <w:lvlText w:val="%1."/>
      <w:numFmt w:val="decimal"/>
      <w:start w:val="145"/>
    </w:lvl>
  </w:abstractNum>
  <w:abstractNum w:abstractNumId="69">
    <w:nsid w:val="14330624"/>
    <w:multiLevelType w:val="hybridMultilevel"/>
    <w:lvl w:ilvl="0">
      <w:lvlJc w:val="left"/>
      <w:lvlText w:val="%1."/>
      <w:numFmt w:val="decimal"/>
      <w:start w:val="148"/>
    </w:lvl>
  </w:abstractNum>
  <w:abstractNum w:abstractNumId="70">
    <w:nsid w:val="7FFFCA11"/>
    <w:multiLevelType w:val="hybridMultilevel"/>
    <w:lvl w:ilvl="0">
      <w:lvlJc w:val="left"/>
      <w:lvlText w:val="%1."/>
      <w:numFmt w:val="decimal"/>
      <w:start w:val="154"/>
    </w:lvl>
  </w:abstractNum>
  <w:abstractNum w:abstractNumId="71">
    <w:nsid w:val="1A27709E"/>
    <w:multiLevelType w:val="hybridMultilevel"/>
    <w:lvl w:ilvl="0">
      <w:lvlJc w:val="left"/>
      <w:lvlText w:val="%1."/>
      <w:numFmt w:val="decimal"/>
      <w:start w:val="158"/>
    </w:lvl>
  </w:abstractNum>
  <w:abstractNum w:abstractNumId="72">
    <w:nsid w:val="71EA1109"/>
    <w:multiLevelType w:val="hybridMultilevel"/>
    <w:lvl w:ilvl="0">
      <w:lvlJc w:val="left"/>
      <w:lvlText w:val="%1."/>
      <w:numFmt w:val="decimal"/>
      <w:start w:val="164"/>
    </w:lvl>
    <w:lvl w:ilvl="1">
      <w:lvlJc w:val="left"/>
      <w:lvlText w:val="(%2)"/>
      <w:numFmt w:val="lowerLetter"/>
      <w:start w:val="1"/>
    </w:lvl>
  </w:abstractNum>
  <w:abstractNum w:abstractNumId="73">
    <w:nsid w:val="100F59DC"/>
    <w:multiLevelType w:val="hybridMultilevel"/>
    <w:lvl w:ilvl="0">
      <w:lvlJc w:val="left"/>
      <w:lvlText w:val="(%1)"/>
      <w:numFmt w:val="lowerLetter"/>
      <w:start w:val="2"/>
    </w:lvl>
    <w:lvl w:ilvl="1">
      <w:lvlJc w:val="left"/>
      <w:lvlText w:val="(%2)"/>
      <w:numFmt w:val="lowerRoman"/>
      <w:start w:val="1"/>
    </w:lvl>
  </w:abstractNum>
  <w:abstractNum w:abstractNumId="74">
    <w:nsid w:val="7FB7E0AA"/>
    <w:multiLevelType w:val="hybridMultilevel"/>
    <w:lvl w:ilvl="0">
      <w:lvlJc w:val="left"/>
      <w:lvlText w:val="(%1)"/>
      <w:numFmt w:val="lowerLetter"/>
      <w:start w:val="3"/>
    </w:lvl>
    <w:lvl w:ilvl="1">
      <w:lvlJc w:val="left"/>
      <w:lvlText w:val="(%2)"/>
      <w:numFmt w:val="lowerRoman"/>
      <w:start w:val="1"/>
    </w:lvl>
  </w:abstractNum>
  <w:abstractNum w:abstractNumId="75">
    <w:nsid w:val="6EB5BD4"/>
    <w:multiLevelType w:val="hybridMultilevel"/>
    <w:lvl w:ilvl="0">
      <w:lvlJc w:val="left"/>
      <w:lvlText w:val="%1"/>
      <w:numFmt w:val="decimal"/>
      <w:start w:val="1"/>
    </w:lvl>
    <w:lvl w:ilvl="1">
      <w:lvlJc w:val="left"/>
      <w:lvlText w:val="(%2)"/>
      <w:numFmt w:val="lowerLetter"/>
      <w:start w:val="5"/>
    </w:lvl>
  </w:abstractNum>
  <w:abstractNum w:abstractNumId="76">
    <w:nsid w:val="6F6DD9AC"/>
    <w:multiLevelType w:val="hybridMultilevel"/>
    <w:lvl w:ilvl="0">
      <w:lvlJc w:val="left"/>
      <w:lvlText w:val="%1."/>
      <w:numFmt w:val="decimal"/>
      <w:start w:val="165"/>
    </w:lvl>
    <w:lvl w:ilvl="1">
      <w:lvlJc w:val="left"/>
      <w:lvlText w:val="(%2)"/>
      <w:numFmt w:val="lowerLetter"/>
      <w:start w:val="1"/>
    </w:lvl>
  </w:abstractNum>
  <w:abstractNum w:abstractNumId="77">
    <w:nsid w:val="94211F2"/>
    <w:multiLevelType w:val="hybridMultilevel"/>
    <w:lvl w:ilvl="0">
      <w:lvlJc w:val="left"/>
      <w:lvlText w:val="(%1)"/>
      <w:numFmt w:val="lowerLetter"/>
      <w:start w:val="3"/>
    </w:lvl>
  </w:abstractNum>
  <w:abstractNum w:abstractNumId="78">
    <w:nsid w:val="885E1B"/>
    <w:multiLevelType w:val="hybridMultilevel"/>
    <w:lvl w:ilvl="0">
      <w:lvlJc w:val="left"/>
      <w:lvlText w:val="%1."/>
      <w:numFmt w:val="decimal"/>
      <w:start w:val="166"/>
    </w:lvl>
  </w:abstractNum>
  <w:abstractNum w:abstractNumId="79">
    <w:nsid w:val="76272110"/>
    <w:multiLevelType w:val="hybridMultilevel"/>
    <w:lvl w:ilvl="0">
      <w:lvlJc w:val="left"/>
      <w:lvlText w:val="%1."/>
      <w:numFmt w:val="decimal"/>
      <w:start w:val="168"/>
    </w:lvl>
    <w:lvl w:ilvl="1">
      <w:lvlJc w:val="left"/>
      <w:lvlText w:val="(%2)"/>
      <w:numFmt w:val="lowerLetter"/>
      <w:start w:val="1"/>
    </w:lvl>
  </w:abstractNum>
  <w:abstractNum w:abstractNumId="80">
    <w:nsid w:val="4C04A8AF"/>
    <w:multiLevelType w:val="hybridMultilevel"/>
    <w:lvl w:ilvl="0">
      <w:lvlJc w:val="left"/>
      <w:lvlText w:val="(%1)"/>
      <w:numFmt w:val="lowerLetter"/>
      <w:start w:val="3"/>
    </w:lvl>
  </w:abstractNum>
  <w:abstractNum w:abstractNumId="81">
    <w:nsid w:val="1716703B"/>
    <w:multiLevelType w:val="hybridMultilevel"/>
    <w:lvl w:ilvl="0">
      <w:lvlJc w:val="left"/>
      <w:lvlText w:val="%1."/>
      <w:numFmt w:val="decimal"/>
      <w:start w:val="173"/>
    </w:lvl>
    <w:lvl w:ilvl="1">
      <w:lvlJc w:val="left"/>
      <w:lvlText w:val="(%2)"/>
      <w:numFmt w:val="lowerLetter"/>
      <w:start w:val="1"/>
    </w:lvl>
  </w:abstractNum>
  <w:abstractNum w:abstractNumId="82">
    <w:nsid w:val="14E17E33"/>
    <w:multiLevelType w:val="hybridMultilevel"/>
    <w:lvl w:ilvl="0">
      <w:lvlJc w:val="left"/>
      <w:lvlText w:val="%1."/>
      <w:numFmt w:val="decimal"/>
      <w:start w:val="175"/>
    </w:lvl>
  </w:abstractNum>
  <w:abstractNum w:abstractNumId="83">
    <w:nsid w:val="3222E7CD"/>
    <w:multiLevelType w:val="hybridMultilevel"/>
    <w:lvl w:ilvl="0">
      <w:lvlJc w:val="left"/>
      <w:lvlText w:val="%1."/>
      <w:numFmt w:val="decimal"/>
      <w:start w:val="178"/>
    </w:lvl>
    <w:lvl w:ilvl="1">
      <w:lvlJc w:val="left"/>
      <w:lvlText w:val="(%2)"/>
      <w:numFmt w:val="lowerLetter"/>
      <w:start w:val="1"/>
    </w:lvl>
  </w:abstractNum>
  <w:abstractNum w:abstractNumId="84">
    <w:nsid w:val="74DE0EE3"/>
    <w:multiLevelType w:val="hybridMultilevel"/>
    <w:lvl w:ilvl="0">
      <w:lvlJc w:val="left"/>
      <w:lvlText w:val="%1."/>
      <w:numFmt w:val="decimal"/>
      <w:start w:val="181"/>
    </w:lvl>
    <w:lvl w:ilvl="1">
      <w:lvlJc w:val="left"/>
      <w:lvlText w:val="(%2)"/>
      <w:numFmt w:val="lowerLetter"/>
      <w:start w:val="1"/>
    </w:lvl>
  </w:abstractNum>
  <w:abstractNum w:abstractNumId="85">
    <w:nsid w:val="68EBC550"/>
    <w:multiLevelType w:val="hybridMultilevel"/>
    <w:lvl w:ilvl="0">
      <w:lvlJc w:val="left"/>
      <w:lvlText w:val="(%1)"/>
      <w:numFmt w:val="lowerLetter"/>
      <w:start w:val="4"/>
    </w:lvl>
  </w:abstractNum>
  <w:abstractNum w:abstractNumId="86">
    <w:nsid w:val="2DF6D648"/>
    <w:multiLevelType w:val="hybridMultilevel"/>
    <w:lvl w:ilvl="0">
      <w:lvlJc w:val="left"/>
      <w:lvlText w:val="%1."/>
      <w:numFmt w:val="decimal"/>
      <w:start w:val="183"/>
    </w:lvl>
  </w:abstractNum>
  <w:abstractNum w:abstractNumId="87">
    <w:nsid w:val="46B7D447"/>
    <w:multiLevelType w:val="hybridMultilevel"/>
    <w:lvl w:ilvl="0">
      <w:lvlJc w:val="left"/>
      <w:lvlText w:val="%1."/>
      <w:numFmt w:val="decimal"/>
      <w:start w:val="184"/>
    </w:lvl>
  </w:abstractNum>
  <w:abstractNum w:abstractNumId="88">
    <w:nsid w:val="4A2AC315"/>
    <w:multiLevelType w:val="hybridMultilevel"/>
    <w:lvl w:ilvl="0">
      <w:lvlJc w:val="left"/>
      <w:lvlText w:val="%1."/>
      <w:numFmt w:val="decimal"/>
      <w:start w:val="185"/>
    </w:lvl>
  </w:abstractNum>
  <w:abstractNum w:abstractNumId="89">
    <w:nsid w:val="39EE015C"/>
    <w:multiLevelType w:val="hybridMultilevel"/>
    <w:lvl w:ilvl="0">
      <w:lvlJc w:val="left"/>
      <w:lvlText w:val="%1."/>
      <w:numFmt w:val="decimal"/>
      <w:start w:val="188"/>
    </w:lvl>
  </w:abstractNum>
  <w:abstractNum w:abstractNumId="90">
    <w:nsid w:val="57FC4FBB"/>
    <w:multiLevelType w:val="hybridMultilevel"/>
    <w:lvl w:ilvl="0">
      <w:lvlJc w:val="left"/>
      <w:lvlText w:val="%1."/>
      <w:numFmt w:val="decimal"/>
      <w:start w:val="189"/>
    </w:lvl>
  </w:abstractNum>
  <w:abstractNum w:abstractNumId="91">
    <w:nsid w:val="CC1016F"/>
    <w:multiLevelType w:val="hybridMultilevel"/>
    <w:lvl w:ilvl="0">
      <w:lvlJc w:val="left"/>
      <w:lvlText w:val="%1."/>
      <w:numFmt w:val="decimal"/>
      <w:start w:val="192"/>
    </w:lvl>
  </w:abstractNum>
  <w:abstractNum w:abstractNumId="92">
    <w:nsid w:val="43F18422"/>
    <w:multiLevelType w:val="hybridMultilevel"/>
    <w:lvl w:ilvl="0">
      <w:lvlJc w:val="left"/>
      <w:lvlText w:val="%1."/>
      <w:numFmt w:val="decimal"/>
      <w:start w:val="193"/>
    </w:lvl>
  </w:abstractNum>
  <w:abstractNum w:abstractNumId="93">
    <w:nsid w:val="60EF0119"/>
    <w:multiLevelType w:val="hybridMultilevel"/>
    <w:lvl w:ilvl="0">
      <w:lvlJc w:val="left"/>
      <w:lvlText w:val="%1."/>
      <w:numFmt w:val="decimal"/>
      <w:start w:val="19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2026-05-29T08:24:29Z</dcterms:created>
  <dcterms:modified xsi:type="dcterms:W3CDTF">2026-05-29T08:24:29Z</dcterms:modified>
</cp:coreProperties>
</file>